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tblLook w:val="0000"/>
      </w:tblPr>
      <w:tblGrid>
        <w:gridCol w:w="4786"/>
        <w:gridCol w:w="4784"/>
      </w:tblGrid>
      <w:tr w:rsidR="004519DC">
        <w:tc>
          <w:tcPr>
            <w:tcW w:w="4785" w:type="dxa"/>
            <w:shd w:val="clear" w:color="auto" w:fill="auto"/>
          </w:tcPr>
          <w:p w:rsidR="004519DC" w:rsidRDefault="004519DC">
            <w:pPr>
              <w:suppressAutoHyphens/>
              <w:spacing w:after="0" w:line="240" w:lineRule="auto"/>
              <w:ind w:hanging="14"/>
              <w:rPr>
                <w:rFonts w:ascii="Times New Roman" w:hAnsi="Times New Roman"/>
                <w:bCs/>
                <w:sz w:val="28"/>
                <w:szCs w:val="24"/>
                <w:lang w:eastAsia="zh-CN"/>
              </w:rPr>
            </w:pPr>
          </w:p>
        </w:tc>
        <w:tc>
          <w:tcPr>
            <w:tcW w:w="4784" w:type="dxa"/>
            <w:shd w:val="clear" w:color="auto" w:fill="auto"/>
          </w:tcPr>
          <w:p w:rsidR="004519DC" w:rsidRDefault="001E6E4D">
            <w:pPr>
              <w:spacing w:after="0" w:line="20" w:lineRule="atLeas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Додаток до рішення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міської ради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     від</w:t>
            </w:r>
            <w:r>
              <w:rPr>
                <w:rFonts w:ascii="Times New Roman" w:hAnsi="Times New Roman"/>
                <w:sz w:val="28"/>
                <w:szCs w:val="28"/>
              </w:rPr>
              <w:t>___________ №_____</w:t>
            </w:r>
          </w:p>
          <w:p w:rsidR="004519DC" w:rsidRDefault="004519DC">
            <w:pPr>
              <w:tabs>
                <w:tab w:val="left" w:pos="6954"/>
              </w:tabs>
              <w:suppressAutoHyphens/>
              <w:spacing w:after="0" w:line="2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  <w:p w:rsidR="004519DC" w:rsidRDefault="004519DC">
            <w:pPr>
              <w:tabs>
                <w:tab w:val="left" w:pos="6954"/>
              </w:tabs>
              <w:suppressAutoHyphens/>
              <w:spacing w:after="0" w:line="2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  <w:p w:rsidR="004519DC" w:rsidRDefault="001E6E4D">
            <w:pPr>
              <w:spacing w:after="0" w:line="20" w:lineRule="atLeast"/>
            </w:pPr>
            <w:r>
              <w:rPr>
                <w:rFonts w:ascii="Times New Roman" w:hAnsi="Times New Roman"/>
                <w:sz w:val="28"/>
                <w:szCs w:val="28"/>
              </w:rPr>
              <w:t>Міністерство юстиції України</w:t>
            </w:r>
          </w:p>
          <w:p w:rsidR="004519DC" w:rsidRDefault="001E6E4D">
            <w:pPr>
              <w:spacing w:after="0" w:line="20" w:lineRule="atLeast"/>
            </w:pPr>
            <w:r>
              <w:rPr>
                <w:rFonts w:ascii="Times New Roman" w:hAnsi="Times New Roman"/>
                <w:sz w:val="28"/>
                <w:szCs w:val="28"/>
              </w:rPr>
              <w:t>вул. Городецького, 13, м. Київ</w:t>
            </w:r>
          </w:p>
          <w:p w:rsidR="004519DC" w:rsidRDefault="001E6E4D">
            <w:pPr>
              <w:spacing w:after="0" w:line="20" w:lineRule="atLeast"/>
            </w:pPr>
            <w:r>
              <w:rPr>
                <w:rFonts w:ascii="Times New Roman" w:hAnsi="Times New Roman"/>
                <w:sz w:val="28"/>
                <w:szCs w:val="28"/>
              </w:rPr>
              <w:t>01001</w:t>
            </w:r>
          </w:p>
          <w:p w:rsidR="004519DC" w:rsidRDefault="004519DC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4519DC" w:rsidRDefault="001E6E4D">
            <w:pPr>
              <w:spacing w:after="0" w:line="20" w:lineRule="atLeast"/>
            </w:pPr>
            <w:r>
              <w:rPr>
                <w:rFonts w:ascii="Times New Roman" w:hAnsi="Times New Roman"/>
                <w:sz w:val="28"/>
                <w:szCs w:val="28"/>
              </w:rPr>
              <w:t>Прокуратура Волинської області</w:t>
            </w:r>
          </w:p>
          <w:p w:rsidR="004519DC" w:rsidRDefault="001E6E4D">
            <w:pPr>
              <w:spacing w:after="0" w:line="20" w:lineRule="atLeas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вул. Винниченка, 15, м. Луцьк, </w:t>
            </w:r>
          </w:p>
          <w:p w:rsidR="004519DC" w:rsidRDefault="001E6E4D">
            <w:pPr>
              <w:spacing w:after="0" w:line="20" w:lineRule="atLeast"/>
            </w:pPr>
            <w:r>
              <w:rPr>
                <w:rFonts w:ascii="Times New Roman" w:hAnsi="Times New Roman"/>
                <w:sz w:val="28"/>
                <w:szCs w:val="28"/>
              </w:rPr>
              <w:t>43025</w:t>
            </w:r>
          </w:p>
          <w:p w:rsidR="004519DC" w:rsidRDefault="004519DC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4519DC" w:rsidRDefault="001E6E4D">
            <w:pPr>
              <w:spacing w:after="0" w:line="20" w:lineRule="atLeast"/>
            </w:pPr>
            <w:r>
              <w:rPr>
                <w:rFonts w:ascii="Times New Roman" w:hAnsi="Times New Roman"/>
                <w:sz w:val="28"/>
                <w:szCs w:val="28"/>
              </w:rPr>
              <w:t>Головне управління національної поліції у Волинській області</w:t>
            </w:r>
          </w:p>
          <w:p w:rsidR="004519DC" w:rsidRDefault="001E6E4D">
            <w:pPr>
              <w:spacing w:after="0" w:line="20" w:lineRule="atLeas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вул. Винниченка, 11, м. Луцьк, </w:t>
            </w:r>
          </w:p>
          <w:p w:rsidR="004519DC" w:rsidRDefault="001E6E4D">
            <w:pPr>
              <w:spacing w:after="0" w:line="20" w:lineRule="atLeast"/>
            </w:pPr>
            <w:r>
              <w:rPr>
                <w:rFonts w:ascii="Times New Roman" w:hAnsi="Times New Roman"/>
                <w:sz w:val="28"/>
                <w:szCs w:val="28"/>
              </w:rPr>
              <w:t>43025</w:t>
            </w:r>
          </w:p>
          <w:p w:rsidR="004519DC" w:rsidRDefault="004519DC">
            <w:pPr>
              <w:spacing w:after="0" w:line="20" w:lineRule="atLeast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</w:tbl>
    <w:p w:rsidR="004519DC" w:rsidRDefault="001E6E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Звернення</w:t>
      </w:r>
    </w:p>
    <w:p w:rsidR="004519DC" w:rsidRDefault="001E6E4D">
      <w:pPr>
        <w:spacing w:after="0"/>
        <w:ind w:left="993" w:right="141"/>
        <w:jc w:val="center"/>
      </w:pPr>
      <w:r>
        <w:rPr>
          <w:rFonts w:ascii="Times New Roman" w:hAnsi="Times New Roman"/>
          <w:sz w:val="28"/>
          <w:szCs w:val="28"/>
        </w:rPr>
        <w:t xml:space="preserve">до Міністерства юстиції України, Головного управління національної поліції у Волинській області, Прокуратури Волинської області щодо </w:t>
      </w:r>
      <w:r>
        <w:rPr>
          <w:rFonts w:ascii="Times New Roman" w:hAnsi="Times New Roman"/>
          <w:sz w:val="28"/>
          <w:szCs w:val="28"/>
        </w:rPr>
        <w:t>можливих протизаконних дій державних реєстраторів, приватних нотаріусів, інженерів з інвентаризації нерухомого майна тощо</w:t>
      </w:r>
    </w:p>
    <w:p w:rsidR="004519DC" w:rsidRDefault="004519D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519DC" w:rsidRDefault="001E6E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Частиною 2 статті 19 Конституції України визначено, що органи державної влади та місцевого самоврядування, їх посадові особи зобов’яз</w:t>
      </w:r>
      <w:r>
        <w:rPr>
          <w:rFonts w:ascii="Times New Roman" w:hAnsi="Times New Roman"/>
          <w:sz w:val="28"/>
          <w:szCs w:val="28"/>
        </w:rPr>
        <w:t>ані діяти лише на підставі, в межах повноважень та у спосіб, що передбачені Конституцією та законами України.</w:t>
      </w:r>
    </w:p>
    <w:p w:rsidR="004519DC" w:rsidRDefault="001E6E4D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Відповідно до абзацу 1 частини 1 статті 1 Закону України «Про регулювання містобудівної діяльності» визначено що </w:t>
      </w:r>
      <w:r>
        <w:rPr>
          <w:rFonts w:ascii="Times New Roman" w:hAnsi="Times New Roman"/>
          <w:i/>
          <w:sz w:val="28"/>
          <w:szCs w:val="28"/>
        </w:rPr>
        <w:t>будівництво – це нове будівництво</w:t>
      </w:r>
      <w:r>
        <w:rPr>
          <w:rFonts w:ascii="Times New Roman" w:hAnsi="Times New Roman"/>
          <w:i/>
          <w:sz w:val="28"/>
          <w:szCs w:val="28"/>
        </w:rPr>
        <w:t>, реконструкція, реставрація, капітальний ремонт об’єкта будівництва.</w:t>
      </w:r>
    </w:p>
    <w:p w:rsidR="004519DC" w:rsidRDefault="001E6E4D">
      <w:pPr>
        <w:spacing w:after="0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Відповідно до п.3.21 ДБН А.2.2-3-2014 «Склад та зміст проектної документації на будівництво» </w:t>
      </w:r>
      <w:r>
        <w:rPr>
          <w:rFonts w:ascii="Times New Roman" w:hAnsi="Times New Roman"/>
          <w:i/>
          <w:sz w:val="28"/>
          <w:szCs w:val="28"/>
        </w:rPr>
        <w:t>Реконструкція – це перебудова введеного в експлуатацію в установленому порядку об'єкту будівн</w:t>
      </w:r>
      <w:r>
        <w:rPr>
          <w:rFonts w:ascii="Times New Roman" w:hAnsi="Times New Roman"/>
          <w:i/>
          <w:sz w:val="28"/>
          <w:szCs w:val="28"/>
        </w:rPr>
        <w:t xml:space="preserve">ицтва, </w:t>
      </w:r>
      <w:r>
        <w:rPr>
          <w:rFonts w:ascii="Times New Roman" w:hAnsi="Times New Roman"/>
          <w:i/>
          <w:sz w:val="28"/>
          <w:szCs w:val="28"/>
          <w:u w:val="single"/>
        </w:rPr>
        <w:t>що передбачає зміну його геометричних розмірів та/або функціонального призначення</w:t>
      </w:r>
      <w:r>
        <w:rPr>
          <w:rFonts w:ascii="Times New Roman" w:hAnsi="Times New Roman"/>
          <w:i/>
          <w:sz w:val="28"/>
          <w:szCs w:val="28"/>
        </w:rPr>
        <w:t xml:space="preserve"> Реконструкція передбачає повне або часткове збереження елементів несучих і огороджувальних конструкцій та призупинення на час виконання робіт експлуатації об’єкту в ці</w:t>
      </w:r>
      <w:r>
        <w:rPr>
          <w:rFonts w:ascii="Times New Roman" w:hAnsi="Times New Roman"/>
          <w:i/>
          <w:sz w:val="28"/>
          <w:szCs w:val="28"/>
        </w:rPr>
        <w:t>лому або його частин (за умови їх автономності).</w:t>
      </w:r>
    </w:p>
    <w:p w:rsidR="004519DC" w:rsidRDefault="001E6E4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Відповідно до частини першої статті 34 Закону України «Про регулювання містобудівної діяльності» </w:t>
      </w:r>
      <w:r>
        <w:rPr>
          <w:rFonts w:ascii="Times New Roman" w:hAnsi="Times New Roman"/>
          <w:i/>
          <w:sz w:val="28"/>
          <w:szCs w:val="28"/>
        </w:rPr>
        <w:t>замовник має право виконувати будівельні роботи після подання повідомлення про початок виконання будівельних р</w:t>
      </w:r>
      <w:r>
        <w:rPr>
          <w:rFonts w:ascii="Times New Roman" w:hAnsi="Times New Roman"/>
          <w:i/>
          <w:sz w:val="28"/>
          <w:szCs w:val="28"/>
        </w:rPr>
        <w:t>обіт, або ж отримання дозволу</w:t>
      </w:r>
      <w:r>
        <w:rPr>
          <w:rFonts w:ascii="Times New Roman" w:hAnsi="Times New Roman"/>
          <w:sz w:val="28"/>
          <w:szCs w:val="28"/>
        </w:rPr>
        <w:t xml:space="preserve"> на виконання будівельних робіт для об’єктів відповідного класу наслідків.</w:t>
      </w:r>
    </w:p>
    <w:p w:rsidR="004519DC" w:rsidRDefault="001E6E4D">
      <w:pPr>
        <w:spacing w:after="0"/>
        <w:ind w:firstLine="708"/>
        <w:jc w:val="both"/>
      </w:pPr>
      <w:r>
        <w:rPr>
          <w:rFonts w:ascii="Times New Roman" w:hAnsi="Times New Roman"/>
          <w:sz w:val="28"/>
          <w:szCs w:val="28"/>
        </w:rPr>
        <w:lastRenderedPageBreak/>
        <w:t>Відповідно до абзацу 4 пункту 15</w:t>
      </w:r>
      <w:r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/>
          <w:sz w:val="28"/>
          <w:szCs w:val="28"/>
        </w:rPr>
        <w:t>Постанови КМУ «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Деякі питання виконання підготовчих і будівельних робіт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від 13 квітня 2011 року № 466 </w:t>
      </w:r>
      <w:r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 xml:space="preserve">Виконання </w:t>
      </w:r>
      <w:r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підготовчих або будівельних робіт без подання такого повідомлення забороняється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4519DC" w:rsidRDefault="001E6E4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Відповідно до частини сьомої статті 34 Закону України «Про регулювання містобудівної діяльності» </w:t>
      </w:r>
      <w:r>
        <w:rPr>
          <w:rFonts w:ascii="Times New Roman" w:hAnsi="Times New Roman"/>
          <w:i/>
          <w:sz w:val="28"/>
          <w:szCs w:val="28"/>
        </w:rPr>
        <w:t>виконання будівельних робіт без відповідного документа, передбаченого цією ста</w:t>
      </w:r>
      <w:r>
        <w:rPr>
          <w:rFonts w:ascii="Times New Roman" w:hAnsi="Times New Roman"/>
          <w:i/>
          <w:sz w:val="28"/>
          <w:szCs w:val="28"/>
        </w:rPr>
        <w:t>ттею вважається самочинним будівництвом</w:t>
      </w:r>
      <w:r>
        <w:rPr>
          <w:rFonts w:ascii="Times New Roman" w:hAnsi="Times New Roman"/>
          <w:sz w:val="28"/>
          <w:szCs w:val="28"/>
        </w:rPr>
        <w:t xml:space="preserve"> і тягне за собою відповідальність згідно із законом.</w:t>
      </w:r>
    </w:p>
    <w:p w:rsidR="004519DC" w:rsidRDefault="001E6E4D">
      <w:pPr>
        <w:spacing w:after="0"/>
        <w:ind w:firstLine="737"/>
        <w:jc w:val="both"/>
      </w:pPr>
      <w:r>
        <w:rPr>
          <w:rFonts w:ascii="Times New Roman" w:hAnsi="Times New Roman"/>
          <w:sz w:val="28"/>
          <w:szCs w:val="28"/>
        </w:rPr>
        <w:t>Узагальнюючи вищевказане – зміна функціонального призначення, зміна геометричних розмірів, втручання в несучі конструкції являється будівництвом, і вимагає отриман</w:t>
      </w:r>
      <w:r>
        <w:rPr>
          <w:rFonts w:ascii="Times New Roman" w:hAnsi="Times New Roman"/>
          <w:sz w:val="28"/>
          <w:szCs w:val="28"/>
        </w:rPr>
        <w:t>ня дозвільних документів відповідно до чинного законодавства. Отже, зміна функціонального призначення без дозвільних документів заборонена.</w:t>
      </w:r>
    </w:p>
    <w:p w:rsidR="004519DC" w:rsidRDefault="001E6E4D">
      <w:pPr>
        <w:pStyle w:val="HTML0"/>
        <w:ind w:firstLine="73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абзацу 1 частини 1 статті 41 Закону України «Про регулювання містобудівної діяльності»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Державний архі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тектурно-будівельний контроль - це сукупність заходів, спрямованих на дотримання замовниками, проектувальниками, підрядниками та експертними організаціями вимог законодавства у сфері містобудівної діяльності, будівельних норм, стандартів і правил </w:t>
      </w: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під час в</w:t>
      </w: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иконання підготовчих та будівельних робіт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».</w:t>
      </w:r>
    </w:p>
    <w:p w:rsidR="004519DC" w:rsidRDefault="001E6E4D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Відповідно до абзацу 4 частини 1 статті 41 Закону України «Про регулювання містобудівної діяльності»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Державний архітектурно-будівельний контроль здійснюється на об’єктах будівництва у порядку проведення планових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та позапланових перевірок за територіальним принципом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4519DC" w:rsidRDefault="001E6E4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Відповідно до </w:t>
      </w:r>
      <w:r>
        <w:rPr>
          <w:rFonts w:ascii="Times New Roman" w:hAnsi="Times New Roman"/>
          <w:sz w:val="28"/>
          <w:szCs w:val="28"/>
        </w:rPr>
        <w:t>абзацу 6 частини 1 статті 41 Закону України «Про регулювання містобудівної діяльності» визначено підстави для проведення позапланових перевірок.</w:t>
      </w:r>
    </w:p>
    <w:p w:rsidR="004519DC" w:rsidRDefault="001E6E4D">
      <w:pPr>
        <w:spacing w:after="0"/>
        <w:ind w:firstLine="708"/>
        <w:jc w:val="both"/>
      </w:pPr>
      <w:r>
        <w:rPr>
          <w:rFonts w:ascii="Times New Roman" w:hAnsi="Times New Roman"/>
          <w:sz w:val="28"/>
          <w:szCs w:val="28"/>
        </w:rPr>
        <w:t>Відповідно до абзацу 1 пункту 9 Постанови</w:t>
      </w:r>
      <w:r>
        <w:rPr>
          <w:rFonts w:ascii="Times New Roman" w:hAnsi="Times New Roman"/>
          <w:sz w:val="28"/>
          <w:szCs w:val="28"/>
        </w:rPr>
        <w:t xml:space="preserve"> КМУ «Про затвердження порядку здійснення державного архітектурно-будівельного контролю» від        23 травня 2011 року № 553 державний архітектурно-будівельний контроль здійснюється у присутності суб’єктів містобудування.</w:t>
      </w:r>
    </w:p>
    <w:p w:rsidR="004519DC" w:rsidRDefault="001E6E4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підставі неодноразових звернен</w:t>
      </w:r>
      <w:r>
        <w:rPr>
          <w:rFonts w:ascii="Times New Roman" w:hAnsi="Times New Roman"/>
          <w:sz w:val="28"/>
          <w:szCs w:val="28"/>
        </w:rPr>
        <w:t>ь фізичних та юридичних осіб використовуючи дані із державного реєстру речових прав на нерухоме майно відділом державного архітектурно-будівельного контролю Луцької міської ради  неодноразово було виявлено зареєстровані право власності на нежитлові приміще</w:t>
      </w:r>
      <w:r>
        <w:rPr>
          <w:rFonts w:ascii="Times New Roman" w:hAnsi="Times New Roman"/>
          <w:sz w:val="28"/>
          <w:szCs w:val="28"/>
        </w:rPr>
        <w:t xml:space="preserve">ння за наступними адресами: м. Луцьк, вул. </w:t>
      </w:r>
      <w:proofErr w:type="spellStart"/>
      <w:r>
        <w:rPr>
          <w:rFonts w:ascii="Times New Roman" w:hAnsi="Times New Roman"/>
          <w:sz w:val="28"/>
          <w:szCs w:val="28"/>
        </w:rPr>
        <w:t>Яровиця</w:t>
      </w:r>
      <w:proofErr w:type="spellEnd"/>
      <w:r>
        <w:rPr>
          <w:rFonts w:ascii="Times New Roman" w:hAnsi="Times New Roman"/>
          <w:sz w:val="28"/>
          <w:szCs w:val="28"/>
        </w:rPr>
        <w:t xml:space="preserve">, 2/3,                   вул. Стрілецька, 53, вул. Єршова, 4, вул. </w:t>
      </w:r>
      <w:proofErr w:type="spellStart"/>
      <w:r>
        <w:rPr>
          <w:rFonts w:ascii="Times New Roman" w:hAnsi="Times New Roman"/>
          <w:sz w:val="28"/>
          <w:szCs w:val="28"/>
        </w:rPr>
        <w:t>Арцеулова</w:t>
      </w:r>
      <w:proofErr w:type="spellEnd"/>
      <w:r>
        <w:rPr>
          <w:rFonts w:ascii="Times New Roman" w:hAnsi="Times New Roman"/>
          <w:sz w:val="28"/>
          <w:szCs w:val="28"/>
        </w:rPr>
        <w:t>, 12/84, вул. Кравчука, 34а/2, вул. Єршова 11а, вул. Коперника 5/1, вул. Богдана Хмельницького, 32,           вул. Кравчука, 15/23</w:t>
      </w:r>
      <w:r>
        <w:rPr>
          <w:rFonts w:ascii="Times New Roman" w:hAnsi="Times New Roman"/>
          <w:sz w:val="28"/>
          <w:szCs w:val="28"/>
        </w:rPr>
        <w:t xml:space="preserve"> та інші. Власники приміщень на місці були відсутні.</w:t>
      </w:r>
    </w:p>
    <w:p w:rsidR="004519DC" w:rsidRDefault="001E6E4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Реєстрація права власності із зміною функціонального призначення (квартира під нежитлове приміщення, торгові, офісні приміщення, стоматологічний кабінет) відбувалась державними реєстраторами та приватним</w:t>
      </w:r>
      <w:r>
        <w:rPr>
          <w:rFonts w:ascii="Times New Roman" w:hAnsi="Times New Roman"/>
          <w:sz w:val="28"/>
          <w:szCs w:val="28"/>
        </w:rPr>
        <w:t xml:space="preserve">и нотаріусами на підставі довідок (висновків), виданих інженерами з </w:t>
      </w:r>
      <w:r>
        <w:rPr>
          <w:rFonts w:ascii="Times New Roman" w:hAnsi="Times New Roman"/>
          <w:sz w:val="28"/>
          <w:szCs w:val="28"/>
        </w:rPr>
        <w:lastRenderedPageBreak/>
        <w:t xml:space="preserve">інвентаризації нерухомого майна </w:t>
      </w:r>
      <w:proofErr w:type="spellStart"/>
      <w:r>
        <w:rPr>
          <w:rFonts w:ascii="Times New Roman" w:hAnsi="Times New Roman"/>
          <w:sz w:val="28"/>
          <w:szCs w:val="28"/>
        </w:rPr>
        <w:t>ФОП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Пазієм</w:t>
      </w:r>
      <w:proofErr w:type="spellEnd"/>
      <w:r>
        <w:rPr>
          <w:rFonts w:ascii="Times New Roman" w:hAnsi="Times New Roman"/>
          <w:sz w:val="28"/>
          <w:szCs w:val="28"/>
        </w:rPr>
        <w:t xml:space="preserve"> Олександром Леонідовичем, </w:t>
      </w:r>
      <w:proofErr w:type="spellStart"/>
      <w:r>
        <w:rPr>
          <w:rFonts w:ascii="Times New Roman" w:hAnsi="Times New Roman"/>
          <w:sz w:val="28"/>
          <w:szCs w:val="28"/>
        </w:rPr>
        <w:t>ФОП</w:t>
      </w:r>
      <w:proofErr w:type="spellEnd"/>
      <w:r>
        <w:rPr>
          <w:rFonts w:ascii="Times New Roman" w:hAnsi="Times New Roman"/>
          <w:sz w:val="28"/>
          <w:szCs w:val="28"/>
        </w:rPr>
        <w:t xml:space="preserve"> Ткачовим М.Г., </w:t>
      </w:r>
      <w:proofErr w:type="spellStart"/>
      <w:r>
        <w:rPr>
          <w:rFonts w:ascii="Times New Roman" w:hAnsi="Times New Roman"/>
          <w:sz w:val="28"/>
          <w:szCs w:val="28"/>
        </w:rPr>
        <w:t>ФОП</w:t>
      </w:r>
      <w:proofErr w:type="spellEnd"/>
      <w:r>
        <w:rPr>
          <w:rFonts w:ascii="Times New Roman" w:hAnsi="Times New Roman"/>
          <w:sz w:val="28"/>
          <w:szCs w:val="28"/>
        </w:rPr>
        <w:t xml:space="preserve">  Волковим Ю.В.</w:t>
      </w:r>
      <w:r>
        <w:rPr>
          <w:rFonts w:ascii="Times New Roman" w:hAnsi="Times New Roman"/>
          <w:sz w:val="28"/>
          <w:szCs w:val="28"/>
        </w:rPr>
        <w:t xml:space="preserve"> та іншими,  </w:t>
      </w:r>
      <w:r>
        <w:rPr>
          <w:rFonts w:ascii="Times New Roman" w:hAnsi="Times New Roman"/>
          <w:sz w:val="28"/>
          <w:szCs w:val="28"/>
          <w:u w:val="single"/>
        </w:rPr>
        <w:t>за відсутності дозвільних документів.</w:t>
      </w:r>
    </w:p>
    <w:p w:rsidR="004519DC" w:rsidRDefault="001E6E4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Вищезазначені обставини можуть свідчити про протиз</w:t>
      </w:r>
      <w:r>
        <w:rPr>
          <w:rFonts w:ascii="Times New Roman" w:hAnsi="Times New Roman"/>
          <w:sz w:val="28"/>
          <w:szCs w:val="28"/>
        </w:rPr>
        <w:t>аконні дії державних реєстраторів, приватних нотаріусів, інженерів з інвентаризації нерухомого майна внаслідок яких неконтрольовано змінюється архітектурний стиль міста, мешканці будинків наражаються на небезпеку внаслідок реконструкцій, а до міського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бюдж</w:t>
      </w:r>
      <w:r>
        <w:rPr>
          <w:rFonts w:ascii="Times New Roman" w:hAnsi="Times New Roman"/>
          <w:sz w:val="28"/>
          <w:szCs w:val="28"/>
        </w:rPr>
        <w:t xml:space="preserve">ету не надходять кошти передбачені до сплати чинним законодавством. </w:t>
      </w:r>
    </w:p>
    <w:p w:rsidR="004519DC" w:rsidRDefault="001E6E4D">
      <w:pPr>
        <w:spacing w:after="0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Просимо перевірити дані обставини, припинити діяльність вказаних осіб, а також в подальшому унеможливити створення схем спрямованих на дублювання функцій якими наділені виключно </w:t>
      </w:r>
      <w:r>
        <w:rPr>
          <w:rFonts w:ascii="Times New Roman" w:hAnsi="Times New Roman"/>
          <w:sz w:val="28"/>
          <w:szCs w:val="28"/>
          <w:u w:val="single"/>
        </w:rPr>
        <w:t>державні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 контролю у сфері містобудування.</w:t>
      </w:r>
    </w:p>
    <w:p w:rsidR="004519DC" w:rsidRDefault="004519D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519DC" w:rsidRDefault="00451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19DC" w:rsidRDefault="001E6E4D">
      <w:pPr>
        <w:jc w:val="both"/>
      </w:pPr>
      <w:r>
        <w:rPr>
          <w:rFonts w:ascii="Times New Roman" w:hAnsi="Times New Roman"/>
          <w:sz w:val="28"/>
          <w:szCs w:val="28"/>
        </w:rPr>
        <w:t xml:space="preserve">Секретар міської ради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Григорій ПУСТОВІТ</w:t>
      </w:r>
    </w:p>
    <w:p w:rsidR="004519DC" w:rsidRDefault="004519DC">
      <w:pPr>
        <w:spacing w:after="0" w:line="20" w:lineRule="atLeast"/>
      </w:pPr>
    </w:p>
    <w:sectPr w:rsidR="004519DC" w:rsidSect="004519DC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19DC"/>
    <w:rsid w:val="001E6E4D"/>
    <w:rsid w:val="00451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499"/>
    <w:pPr>
      <w:spacing w:after="160" w:line="259" w:lineRule="auto"/>
    </w:pPr>
    <w:rPr>
      <w:rFonts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basedOn w:val="a0"/>
    <w:uiPriority w:val="99"/>
    <w:unhideWhenUsed/>
    <w:rsid w:val="004A5499"/>
    <w:rPr>
      <w:color w:val="0000FF"/>
      <w:u w:val="single"/>
    </w:rPr>
  </w:style>
  <w:style w:type="character" w:customStyle="1" w:styleId="HTML">
    <w:name w:val="Стандартный HTML Знак"/>
    <w:basedOn w:val="a0"/>
    <w:link w:val="HTML"/>
    <w:uiPriority w:val="99"/>
    <w:qFormat/>
    <w:rsid w:val="004A5499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a4">
    <w:name w:val="Текст выноски Знак"/>
    <w:basedOn w:val="a0"/>
    <w:uiPriority w:val="99"/>
    <w:semiHidden/>
    <w:qFormat/>
    <w:rsid w:val="004559B9"/>
    <w:rPr>
      <w:rFonts w:ascii="Segoe UI" w:eastAsia="Calibri" w:hAnsi="Segoe UI" w:cs="Segoe UI"/>
      <w:sz w:val="18"/>
      <w:szCs w:val="18"/>
    </w:rPr>
  </w:style>
  <w:style w:type="character" w:customStyle="1" w:styleId="rvts23">
    <w:name w:val="rvts23"/>
    <w:basedOn w:val="a0"/>
    <w:qFormat/>
    <w:rsid w:val="00695C73"/>
  </w:style>
  <w:style w:type="character" w:customStyle="1" w:styleId="rvts64">
    <w:name w:val="rvts64"/>
    <w:basedOn w:val="a0"/>
    <w:qFormat/>
    <w:rsid w:val="00695C73"/>
  </w:style>
  <w:style w:type="character" w:customStyle="1" w:styleId="rvts9">
    <w:name w:val="rvts9"/>
    <w:basedOn w:val="a0"/>
    <w:qFormat/>
    <w:rsid w:val="00695C73"/>
  </w:style>
  <w:style w:type="paragraph" w:customStyle="1" w:styleId="a5">
    <w:name w:val="Заголовок"/>
    <w:basedOn w:val="a"/>
    <w:next w:val="a6"/>
    <w:qFormat/>
    <w:rsid w:val="004519D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4519DC"/>
    <w:pPr>
      <w:spacing w:after="140" w:line="276" w:lineRule="auto"/>
    </w:pPr>
  </w:style>
  <w:style w:type="paragraph" w:styleId="a7">
    <w:name w:val="List"/>
    <w:basedOn w:val="a6"/>
    <w:rsid w:val="004519DC"/>
    <w:rPr>
      <w:rFonts w:cs="Arial"/>
    </w:rPr>
  </w:style>
  <w:style w:type="paragraph" w:customStyle="1" w:styleId="Caption">
    <w:name w:val="Caption"/>
    <w:basedOn w:val="a"/>
    <w:qFormat/>
    <w:rsid w:val="004519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rsid w:val="004519DC"/>
    <w:pPr>
      <w:suppressLineNumbers/>
    </w:pPr>
    <w:rPr>
      <w:rFonts w:cs="Arial"/>
    </w:rPr>
  </w:style>
  <w:style w:type="paragraph" w:styleId="HTML0">
    <w:name w:val="HTML Preformatted"/>
    <w:basedOn w:val="a"/>
    <w:uiPriority w:val="99"/>
    <w:unhideWhenUsed/>
    <w:qFormat/>
    <w:rsid w:val="004A5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paragraph" w:styleId="a9">
    <w:name w:val="Balloon Text"/>
    <w:basedOn w:val="a"/>
    <w:uiPriority w:val="99"/>
    <w:semiHidden/>
    <w:unhideWhenUsed/>
    <w:qFormat/>
    <w:rsid w:val="004559B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276ADA"/>
    <w:pPr>
      <w:ind w:left="720"/>
      <w:contextualSpacing/>
    </w:pPr>
  </w:style>
  <w:style w:type="paragraph" w:customStyle="1" w:styleId="rvps2">
    <w:name w:val="rvps2"/>
    <w:basedOn w:val="a"/>
    <w:qFormat/>
    <w:rsid w:val="00695C7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rvps17">
    <w:name w:val="rvps17"/>
    <w:basedOn w:val="a"/>
    <w:qFormat/>
    <w:rsid w:val="00695C7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rvps7">
    <w:name w:val="rvps7"/>
    <w:basedOn w:val="a"/>
    <w:qFormat/>
    <w:rsid w:val="00695C7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rvps6">
    <w:name w:val="rvps6"/>
    <w:basedOn w:val="a"/>
    <w:qFormat/>
    <w:rsid w:val="00695C7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3513</Words>
  <Characters>2003</Characters>
  <Application>Microsoft Office Word</Application>
  <DocSecurity>0</DocSecurity>
  <Lines>16</Lines>
  <Paragraphs>11</Paragraphs>
  <ScaleCrop>false</ScaleCrop>
  <Company>diakov.net</Company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dc:description/>
  <cp:lastModifiedBy>trots</cp:lastModifiedBy>
  <cp:revision>14</cp:revision>
  <cp:lastPrinted>2020-08-13T09:22:00Z</cp:lastPrinted>
  <dcterms:created xsi:type="dcterms:W3CDTF">2020-08-10T11:17:00Z</dcterms:created>
  <dcterms:modified xsi:type="dcterms:W3CDTF">2020-08-19T07:51:00Z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