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91" w:rsidRDefault="0051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0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24791" w:rsidRDefault="00517E9D">
      <w:pPr>
        <w:spacing w:after="0" w:line="24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C24791" w:rsidRDefault="00517E9D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 № _______</w:t>
      </w:r>
    </w:p>
    <w:p w:rsidR="00C24791" w:rsidRDefault="00C24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791" w:rsidRDefault="00517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C24791" w:rsidRDefault="00517E9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коштів, передбачених у бюджеті Луцької міської територіальної громади для надання фінансової підтримки на покриття збитків від основної діяльності ДКП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24791" w:rsidRDefault="00C24791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791" w:rsidRDefault="00517E9D">
      <w:pPr>
        <w:pStyle w:val="a9"/>
        <w:ind w:right="-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C24791" w:rsidRDefault="00C24791">
      <w:pPr>
        <w:pStyle w:val="a9"/>
        <w:ind w:right="-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Порядок використання коштів, передбачених у бюджеті Луцької міської територіальної громади для надання фінансової підтримки на покриття збитків від основної діяльності ДКП «</w:t>
      </w:r>
      <w:proofErr w:type="spellStart"/>
      <w:r w:rsidR="00517E9D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517E9D">
        <w:rPr>
          <w:rFonts w:ascii="Times New Roman" w:hAnsi="Times New Roman" w:cs="Times New Roman"/>
          <w:sz w:val="28"/>
          <w:szCs w:val="28"/>
          <w:lang w:val="uk-UA"/>
        </w:rPr>
        <w:t>» (далі – Порядок) визначає механізм використання коштів, передбачених у бюджеті Луцької міської територіальної громади для надання фінансової підтримки</w:t>
      </w:r>
      <w:r w:rsidR="00034CFA">
        <w:rPr>
          <w:rFonts w:ascii="Times New Roman" w:hAnsi="Times New Roman" w:cs="Times New Roman"/>
          <w:sz w:val="28"/>
          <w:szCs w:val="28"/>
          <w:lang w:val="uk-UA"/>
        </w:rPr>
        <w:t xml:space="preserve"> (далі – фінансова підтримка) на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збитків від основної діяльності ДКП «</w:t>
      </w:r>
      <w:proofErr w:type="spellStart"/>
      <w:r w:rsidR="00517E9D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517E9D">
        <w:rPr>
          <w:rFonts w:ascii="Times New Roman" w:hAnsi="Times New Roman" w:cs="Times New Roman"/>
          <w:sz w:val="28"/>
          <w:szCs w:val="28"/>
          <w:lang w:val="uk-UA"/>
        </w:rPr>
        <w:t>» на виконання заходів Програми підтримки ДКП «</w:t>
      </w:r>
      <w:proofErr w:type="spellStart"/>
      <w:r w:rsidR="00517E9D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517E9D">
        <w:rPr>
          <w:rFonts w:ascii="Times New Roman" w:hAnsi="Times New Roman" w:cs="Times New Roman"/>
          <w:sz w:val="28"/>
          <w:szCs w:val="28"/>
          <w:lang w:val="uk-UA"/>
        </w:rPr>
        <w:t>» на 2021 рік.</w:t>
      </w:r>
    </w:p>
    <w:p w:rsidR="00C24791" w:rsidRDefault="00517E9D" w:rsidP="0087095F">
      <w:pPr>
        <w:pStyle w:val="a9"/>
        <w:numPr>
          <w:ilvl w:val="0"/>
          <w:numId w:val="8"/>
        </w:numPr>
        <w:ind w:right="-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критерії, за якими надається фінансова підтримка:</w:t>
      </w: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підприємство, яке надає послуги з виробництва, транспортування, постачання теплової енергії для потреб опалення та гарячого водопостачання об’єктів бюджетної сфери, житлового фонду та інших господарських об’єктів, що підключені до теплових мереж </w:t>
      </w:r>
      <w:r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збитків за результатами  фінансово-господарської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від здійснення основної діяльності (виробництва, транспортування, постачання теплової енергії для потреб опалення та гарячого водопостачання об’єктів бюджетної сфери, житлового фонду та інших господарських об’єктів, що підключені до теплових мереж </w:t>
      </w:r>
      <w:r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бюджетних коштів є департамент житлово-комунального господарства Луцької міської ради.</w:t>
      </w: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Одержувачем коштів </w:t>
      </w:r>
      <w:r w:rsidR="005E286F">
        <w:rPr>
          <w:rFonts w:ascii="Times New Roman" w:hAnsi="Times New Roman" w:cs="Times New Roman"/>
          <w:sz w:val="28"/>
          <w:szCs w:val="28"/>
          <w:lang w:val="uk-UA"/>
        </w:rPr>
        <w:t xml:space="preserve">бюджету Луцької міської територіальної громади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є ДКП «</w:t>
      </w:r>
      <w:proofErr w:type="spellStart"/>
      <w:r w:rsidR="00517E9D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517E9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Опис механізму компенсації за 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 послуги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загального економічного інтересу визначається відповідно до пунктів 1-5 розділу ІІІ цього Порядку.</w:t>
      </w:r>
    </w:p>
    <w:p w:rsidR="00C24791" w:rsidRDefault="0087095F" w:rsidP="0087095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уникнення та повернення фінансової підтримки, у випадку надання  надмірної компенсації за 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економічного інтересу визначається відповідно до пунктів 6-9 розділу </w:t>
      </w:r>
      <w:r w:rsidR="00517E9D">
        <w:rPr>
          <w:rFonts w:ascii="Times New Roman" w:hAnsi="Times New Roman" w:cs="Times New Roman"/>
          <w:sz w:val="28"/>
          <w:szCs w:val="28"/>
        </w:rPr>
        <w:t>III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цього Порядку.</w:t>
      </w:r>
    </w:p>
    <w:p w:rsidR="00C24791" w:rsidRPr="001850E7" w:rsidRDefault="0087095F">
      <w:pPr>
        <w:pStyle w:val="a9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розпорядник бюджетних коштів, не менше ніж один раз на два роки здійснює перевірку </w:t>
      </w:r>
      <w:r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>щодо дотримання</w:t>
      </w:r>
      <w:r w:rsidR="00517E9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вимог цього Порядку.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разі встановлення використання державної підтримки не за цільовим 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призначенням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185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розпорядник бюджетних коштів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1850E7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t>магає</w:t>
      </w:r>
      <w:r w:rsidR="00517E9D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повернення до бюджету Луцької міської територіальної громади над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 xml:space="preserve">аної </w:t>
      </w:r>
      <w:r w:rsidR="005E286F" w:rsidRPr="001850E7"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>, яка використана з порушенням Програми підтримки ДКП «</w:t>
      </w:r>
      <w:proofErr w:type="spellStart"/>
      <w:r w:rsidR="001850E7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1850E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286F" w:rsidRPr="001850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517E9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</w:t>
      </w:r>
    </w:p>
    <w:p w:rsidR="00C24791" w:rsidRDefault="00517E9D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Мета Порядку та напрями використання бюджетних коштів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1850E7" w:rsidP="001850E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Мета Порядку полягає у забезпеченні прозорої та ефективної процедури використання коштів, що передбачені у бюджеті Луцької міської територіальної громади для надання фінансової підтримки.</w:t>
      </w:r>
    </w:p>
    <w:p w:rsidR="00C24791" w:rsidRDefault="001850E7" w:rsidP="001850E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Бюджетні кошти спрямовуються на виконання заходів Програми підтримки ДКП «</w:t>
      </w:r>
      <w:proofErr w:type="spellStart"/>
      <w:r w:rsidR="00517E9D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517E9D">
        <w:rPr>
          <w:rFonts w:ascii="Times New Roman" w:hAnsi="Times New Roman" w:cs="Times New Roman"/>
          <w:sz w:val="28"/>
          <w:szCs w:val="28"/>
          <w:lang w:val="uk-UA"/>
        </w:rPr>
        <w:t>» на 2021 дл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я надання фінансової підтримки п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ідприємств</w:t>
      </w:r>
      <w:r w:rsidR="00517E9D" w:rsidRPr="000C19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з метою створення умов, що сприятимуть сталому функц</w:t>
      </w:r>
      <w:r w:rsidR="000C1990">
        <w:rPr>
          <w:rFonts w:ascii="Times New Roman" w:hAnsi="Times New Roman" w:cs="Times New Roman"/>
          <w:sz w:val="28"/>
          <w:szCs w:val="28"/>
          <w:lang w:val="uk-UA"/>
        </w:rPr>
        <w:t>іонуванню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990" w:rsidRDefault="001850E7" w:rsidP="000C199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Фінансова підтримка може бути використана на</w:t>
      </w:r>
      <w:r w:rsidR="000C199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заходів Програми підтримки ДКП «</w:t>
      </w:r>
      <w:proofErr w:type="spellStart"/>
      <w:r w:rsidR="000C1990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0C19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94DAD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міської ради</w:t>
      </w:r>
      <w:r w:rsidR="000C19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517E9D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. Вимоги щодо використання бюджетних коштів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фінансової підтримки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як різниця між доходами та витратами від основної діяльності за звітний період. При цьому, розмір фінансової підтримки не може бути більшим за суму збитків від діяльності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68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цілому </w:t>
      </w:r>
      <w:r w:rsidR="00065471">
        <w:rPr>
          <w:rFonts w:ascii="Times New Roman" w:hAnsi="Times New Roman" w:cs="Times New Roman"/>
          <w:sz w:val="28"/>
          <w:szCs w:val="28"/>
          <w:lang w:val="uk-UA"/>
        </w:rPr>
        <w:t>без урахування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витрат, </w:t>
      </w:r>
      <w:r w:rsidR="003A75F7">
        <w:rPr>
          <w:rFonts w:ascii="Times New Roman" w:hAnsi="Times New Roman" w:cs="Times New Roman"/>
          <w:sz w:val="28"/>
          <w:szCs w:val="28"/>
          <w:lang w:val="uk-UA"/>
        </w:rPr>
        <w:t>які не підлягають відшкодуванню (</w:t>
      </w:r>
      <w:r w:rsidR="003A75F7" w:rsidRPr="003A75F7">
        <w:rPr>
          <w:rFonts w:ascii="Times New Roman" w:hAnsi="Times New Roman" w:cs="Times New Roman"/>
          <w:sz w:val="28"/>
          <w:szCs w:val="28"/>
          <w:lang w:val="uk-UA"/>
        </w:rPr>
        <w:t xml:space="preserve">суми неустойки (штрафи, пені), суми безнадійної дебіторської заборгованості, суми нестачі та втрати від псування цінностей, суми спонсорської та благодійної допомоги, втрати від списання </w:t>
      </w:r>
      <w:proofErr w:type="spellStart"/>
      <w:r w:rsidR="003A75F7" w:rsidRPr="003A75F7">
        <w:rPr>
          <w:rFonts w:ascii="Times New Roman" w:hAnsi="Times New Roman" w:cs="Times New Roman"/>
          <w:sz w:val="28"/>
          <w:szCs w:val="28"/>
          <w:lang w:val="uk-UA"/>
        </w:rPr>
        <w:t>недоамортизованих</w:t>
      </w:r>
      <w:proofErr w:type="spellEnd"/>
      <w:r w:rsidR="003A75F7" w:rsidRPr="003A75F7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засобів та інші непродуктивні витрати, які не мають безпосереднього відношення до надання послуг підприємством</w:t>
      </w:r>
      <w:r w:rsidR="003A75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обсягу фінансової підтримки </w:t>
      </w:r>
      <w:r w:rsidR="00BF68D8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BF68D8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BF68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надає головному розпоряднику </w:t>
      </w:r>
      <w:r w:rsidR="00BF68D8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коштів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розра</w:t>
      </w:r>
      <w:r w:rsidR="00440452">
        <w:rPr>
          <w:rFonts w:ascii="Times New Roman" w:hAnsi="Times New Roman" w:cs="Times New Roman"/>
          <w:sz w:val="28"/>
          <w:szCs w:val="28"/>
          <w:lang w:val="uk-UA"/>
        </w:rPr>
        <w:t xml:space="preserve">хунок, що наведений у додатку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до Порядку.</w:t>
      </w:r>
    </w:p>
    <w:p w:rsidR="00C24791" w:rsidRPr="00F94DAD" w:rsidRDefault="008569BA" w:rsidP="008569BA">
      <w:pPr>
        <w:pStyle w:val="a9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Бюджетні кошти використовуються в межах відповідних бюджетних призначень, встановлених рішення</w:t>
      </w:r>
      <w:r w:rsidR="00517E9D" w:rsidRPr="00F94DA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про бюджет Луцької міської територіальної громади на відповідний період </w:t>
      </w:r>
      <w:r w:rsidR="00517E9D" w:rsidRPr="00F94DA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</w:t>
      </w:r>
      <w:r w:rsidR="00F94DAD" w:rsidRPr="00F94DAD">
        <w:rPr>
          <w:rFonts w:ascii="Times New Roman" w:hAnsi="Times New Roman" w:cs="Times New Roman"/>
          <w:sz w:val="28"/>
          <w:szCs w:val="28"/>
          <w:lang w:val="uk-UA"/>
        </w:rPr>
        <w:t xml:space="preserve">Порядку складання, розгляду, затвердження та основних вимог до виконання кошторисів бюджетних установ, затвердженого постановою </w:t>
      </w:r>
      <w:r w:rsidR="00F94DAD" w:rsidRPr="00C74D3B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28.02.2002 №228</w:t>
      </w:r>
      <w:r w:rsidR="00F94D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74D3B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C74D3B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C74D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бюджетні кошти відповідно до вимог бюджетного законодавства на підставі плану використання бюджетних коштів.</w:t>
      </w: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Сума фінансової підтримки не може перевищувати суми збитків за результатами фінансово-господарської діяльності за звітний період</w:t>
      </w:r>
      <w:r w:rsidR="00065471">
        <w:rPr>
          <w:rFonts w:ascii="Times New Roman" w:hAnsi="Times New Roman" w:cs="Times New Roman"/>
          <w:sz w:val="28"/>
          <w:szCs w:val="28"/>
          <w:lang w:val="uk-UA"/>
        </w:rPr>
        <w:t xml:space="preserve"> (квартал)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, яка відображена у формі №2 «</w:t>
      </w:r>
      <w:r w:rsidR="00C74D3B">
        <w:rPr>
          <w:rFonts w:ascii="Times New Roman" w:hAnsi="Times New Roman" w:cs="Times New Roman"/>
          <w:sz w:val="28"/>
          <w:szCs w:val="28"/>
          <w:lang w:val="uk-UA"/>
        </w:rPr>
        <w:t>Звіт про фінансові результати (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Звіт про сукупний дохід)» без урахування фінансової підтримки</w:t>
      </w:r>
      <w:r w:rsidR="00E10990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збитків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Якщо у звітному періоді</w:t>
      </w:r>
      <w:r w:rsidR="00065471">
        <w:rPr>
          <w:rFonts w:ascii="Times New Roman" w:hAnsi="Times New Roman" w:cs="Times New Roman"/>
          <w:sz w:val="28"/>
          <w:szCs w:val="28"/>
          <w:lang w:val="uk-UA"/>
        </w:rPr>
        <w:t xml:space="preserve"> (кварталі)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суми отриманої з бюджету Луцької міської територіальної громади фінансової підтримки на покриття збитків від основної діяльності,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отримало прибуток </w:t>
      </w:r>
      <w:r w:rsidR="00517E9D" w:rsidRPr="00F96969">
        <w:rPr>
          <w:rFonts w:ascii="Times New Roman" w:hAnsi="Times New Roman" w:cs="Times New Roman"/>
          <w:sz w:val="28"/>
          <w:szCs w:val="28"/>
          <w:lang w:val="uk-UA"/>
        </w:rPr>
        <w:t>відповідно до форми №2 «Зві</w:t>
      </w:r>
      <w:r w:rsidR="00F96969" w:rsidRPr="00F96969">
        <w:rPr>
          <w:rFonts w:ascii="Times New Roman" w:hAnsi="Times New Roman" w:cs="Times New Roman"/>
          <w:sz w:val="28"/>
          <w:szCs w:val="28"/>
          <w:lang w:val="uk-UA"/>
        </w:rPr>
        <w:t>т про фінансові результати (</w:t>
      </w:r>
      <w:r w:rsidR="00517E9D" w:rsidRPr="00F96969">
        <w:rPr>
          <w:rFonts w:ascii="Times New Roman" w:hAnsi="Times New Roman" w:cs="Times New Roman"/>
          <w:sz w:val="28"/>
          <w:szCs w:val="28"/>
          <w:lang w:val="uk-UA"/>
        </w:rPr>
        <w:t>Звіт про сукупний дохід)»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, то у наступному за звітним кварталом сума фінансової підтримки за плановими розрахунками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зменшується на суму отриманого прибутку.</w:t>
      </w: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Фінансування в наступному кварталі здійснюється відповідно до планових розрахунків кварталу за мінусом зайво отриманого фінансування у попередньому звітному періоді.</w:t>
      </w: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Якщо сума збитків, які підлягають відшкодуванню, за звітний період більша планової суми фінансової підтримки, то відшкодуванню з бюджету Луцької міської територіальної громади підлягає сума збитків, яка не перевищує суму планових асигнувань.</w:t>
      </w: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У разі, якщо за підсумками року разом із сумою  наданої фінансової підтримки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отримано прибуток, </w:t>
      </w:r>
      <w:r w:rsidR="00517E9D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1E5684">
        <w:rPr>
          <w:rFonts w:ascii="Times New Roman" w:hAnsi="Times New Roman" w:cs="Times New Roman"/>
          <w:sz w:val="28"/>
          <w:szCs w:val="28"/>
          <w:lang w:val="uk-UA"/>
        </w:rPr>
        <w:t>з формою</w:t>
      </w:r>
      <w:r w:rsidR="00517E9D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№2 «Звіт про фінансові результати (Звіт про сукупний дохід)»,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то фінансова підтримка в сумі отриманого прибутку підлягає поверненню до бюджету Луцької міської територіальної громади в </w:t>
      </w:r>
      <w:r w:rsidR="00517E9D">
        <w:rPr>
          <w:rFonts w:ascii="Times New Roman" w:hAnsi="Times New Roman" w:cs="Times New Roman"/>
          <w:sz w:val="28"/>
          <w:szCs w:val="28"/>
        </w:rPr>
        <w:t>I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кварталі наступного року.</w:t>
      </w:r>
    </w:p>
    <w:p w:rsidR="00C24791" w:rsidRDefault="008569BA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У разі зменшення (збільшення) бюджетних призначень на надання фінансової підтримки за рішенням міської ради, головний розпорядник </w:t>
      </w:r>
      <w:r w:rsidR="001E5684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коштів здійснює відповідне коригування суми фінансової підтримки і вносить корективи до кошторису та паспорту бюджетної програми, а одержувач бюджетних коштів – до плану використання бюджетних коштів.</w:t>
      </w:r>
    </w:p>
    <w:p w:rsidR="00C24791" w:rsidRDefault="003A75F7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Закупівля товарів, робіт та послуг за рахунок бюджетних коштів здійснюється в установленому законом порядку. Попередня оплата таких товарів, робіт та послуг здійснюється з</w:t>
      </w:r>
      <w:r w:rsidR="00B278F1">
        <w:rPr>
          <w:rFonts w:ascii="Times New Roman" w:hAnsi="Times New Roman" w:cs="Times New Roman"/>
          <w:sz w:val="28"/>
          <w:szCs w:val="28"/>
          <w:lang w:val="uk-UA"/>
        </w:rPr>
        <w:t>а попереднім погодженням з головним розпорядником бюджетних коштів та з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положень бюджетного законодавства.</w:t>
      </w:r>
    </w:p>
    <w:p w:rsidR="00C24791" w:rsidRDefault="003A75F7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56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Відкриття рахунків, реєстрація, облік зобов’язань та проведення операцій, пов’язаних з використанням бюджетних коштів, здійснюється відповідно до порядку казначейського обслуговування місцевих бюджетів, затвердженого Міністерством фінансів України, якщо інше не передбачено законодавством.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517E9D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Звітність про використання бюджетних коштів </w:t>
      </w:r>
    </w:p>
    <w:p w:rsidR="00C24791" w:rsidRDefault="00517E9D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контроль за їх витрачанням</w:t>
      </w:r>
    </w:p>
    <w:p w:rsidR="003A75F7" w:rsidRDefault="003A75F7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933EF0" w:rsidP="00933E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Щоквартально, не пізніше 28 числа місяця, що слідує за звітним кварталом,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надає головному розпоряднику бюджетних коштів такі звіти</w:t>
      </w:r>
      <w:r w:rsidR="00517E9D"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</w:p>
    <w:p w:rsidR="00C24791" w:rsidRDefault="00933EF0" w:rsidP="00933E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«Баланс (Звіт про фінансовий стан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ідприємства)»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форма №1;</w:t>
      </w:r>
    </w:p>
    <w:p w:rsidR="00C24791" w:rsidRDefault="00933EF0" w:rsidP="00933E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«Звіт про фінансові результати (Звіт про сукупний дохід)» - форма №2;</w:t>
      </w:r>
    </w:p>
    <w:p w:rsidR="00C24791" w:rsidRPr="00E00414" w:rsidRDefault="00933EF0" w:rsidP="00933EF0">
      <w:pPr>
        <w:pStyle w:val="a9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«</w:t>
      </w:r>
      <w:r w:rsidRPr="00E0041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17E9D" w:rsidRPr="00E00414">
        <w:rPr>
          <w:rFonts w:ascii="Times New Roman" w:hAnsi="Times New Roman" w:cs="Times New Roman"/>
          <w:sz w:val="28"/>
          <w:szCs w:val="28"/>
          <w:lang w:val="uk-UA"/>
        </w:rPr>
        <w:t>ро витрати виробництва та фінансові показники діяльності суб'єктів господарювання від надання послуги з постачання теплової енергії та постачання гарячої води</w:t>
      </w:r>
      <w:r w:rsidRPr="00E004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0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E00414">
        <w:rPr>
          <w:rFonts w:ascii="Times New Roman" w:hAnsi="Times New Roman" w:cs="Times New Roman"/>
          <w:sz w:val="28"/>
          <w:szCs w:val="28"/>
          <w:lang w:val="uk-UA"/>
        </w:rPr>
        <w:t>(затверджено наказом Держжитлокомунгоспу України від 16.12.2019 №312</w:t>
      </w:r>
      <w:r w:rsidR="00E00414" w:rsidRPr="00E00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E004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0414" w:rsidRPr="00E00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E00414">
        <w:rPr>
          <w:rFonts w:ascii="Times New Roman" w:hAnsi="Times New Roman" w:cs="Times New Roman"/>
          <w:sz w:val="28"/>
          <w:szCs w:val="28"/>
          <w:lang w:val="uk-UA"/>
        </w:rPr>
        <w:t>форма №1.</w:t>
      </w:r>
    </w:p>
    <w:p w:rsidR="00C24791" w:rsidRDefault="00933EF0" w:rsidP="00933E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суми фінансової підтримки на покриття збитків від основної діяльності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за формою, що наведено у додатку до Порядку.</w:t>
      </w:r>
    </w:p>
    <w:p w:rsidR="00C24791" w:rsidRDefault="00E00414" w:rsidP="00E0041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розпорядник бюджетних коштів, на підставі отриманої звітності, щоквартально проводить аналіз результатів фінансово-господарської діяльності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ДКП «</w:t>
      </w:r>
      <w:proofErr w:type="spellStart"/>
      <w:r w:rsidR="0087095F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, стану використання бюджетних коштів та</w:t>
      </w:r>
      <w:r w:rsidR="003539C5">
        <w:rPr>
          <w:rFonts w:ascii="Times New Roman" w:hAnsi="Times New Roman" w:cs="Times New Roman"/>
          <w:sz w:val="28"/>
          <w:szCs w:val="28"/>
          <w:lang w:val="uk-UA"/>
        </w:rPr>
        <w:t>, у разі необхідності,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30 числа місяця, наступного за звітним кварталом, подає департаменту фінансів, бюджету та аудиту міської ради пропозиції щодо коригування обсягу фінансової підтримки в наступному</w:t>
      </w:r>
      <w:r w:rsidR="00517E9D" w:rsidRPr="003539C5">
        <w:rPr>
          <w:rFonts w:ascii="Times New Roman" w:hAnsi="Times New Roman" w:cs="Times New Roman"/>
          <w:sz w:val="28"/>
          <w:szCs w:val="28"/>
          <w:lang w:val="uk-UA"/>
        </w:rPr>
        <w:t>, за звітним,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кварталі.</w:t>
      </w:r>
    </w:p>
    <w:p w:rsidR="00C24791" w:rsidRDefault="00E00414" w:rsidP="00E0041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та подання фінансової звітності про використання бюджетних коштів, а також контроль за їх цільовим та ефективним </w:t>
      </w:r>
      <w:r w:rsidR="00517E9D" w:rsidRPr="006410F1">
        <w:rPr>
          <w:rFonts w:ascii="Times New Roman" w:hAnsi="Times New Roman" w:cs="Times New Roman"/>
          <w:sz w:val="28"/>
          <w:szCs w:val="28"/>
          <w:lang w:val="uk-UA"/>
        </w:rPr>
        <w:t>витрачанням здійснюється в установленому законодавством порядку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E00414" w:rsidP="00E0041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правильність використання  бюджетних коштів покладається на головного розпорядника та одержувача бюджетних коштів.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517E9D">
      <w:pPr>
        <w:pStyle w:val="a9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 БЕЗПЯТКО</w:t>
      </w: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75F7" w:rsidRDefault="003A75F7" w:rsidP="003F777E">
      <w:pPr>
        <w:spacing w:after="0" w:line="240" w:lineRule="auto"/>
        <w:ind w:left="3406" w:right="4" w:hanging="1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3A75F7" w:rsidRDefault="003A75F7" w:rsidP="003F777E">
      <w:pPr>
        <w:spacing w:after="0" w:line="240" w:lineRule="auto"/>
        <w:ind w:left="3406" w:right="4" w:hanging="1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3A75F7" w:rsidRDefault="003A75F7" w:rsidP="003F777E">
      <w:pPr>
        <w:spacing w:after="0" w:line="240" w:lineRule="auto"/>
        <w:ind w:left="3406" w:right="4" w:hanging="1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3A75F7" w:rsidRDefault="003A75F7" w:rsidP="003F777E">
      <w:pPr>
        <w:spacing w:after="0" w:line="240" w:lineRule="auto"/>
        <w:ind w:left="3406" w:right="4" w:hanging="1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278F1" w:rsidRDefault="00B278F1" w:rsidP="003F777E">
      <w:pPr>
        <w:spacing w:after="0" w:line="240" w:lineRule="auto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Pr="003A75F7" w:rsidRDefault="00440452" w:rsidP="003F777E">
      <w:pPr>
        <w:spacing w:after="0" w:line="240" w:lineRule="auto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A75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Порядку </w:t>
      </w:r>
    </w:p>
    <w:p w:rsidR="00440452" w:rsidRPr="00922ED4" w:rsidRDefault="00440452" w:rsidP="003F777E">
      <w:pPr>
        <w:spacing w:after="0" w:line="240" w:lineRule="auto"/>
        <w:ind w:left="566"/>
        <w:rPr>
          <w:sz w:val="16"/>
          <w:szCs w:val="16"/>
          <w:lang w:val="uk-UA"/>
        </w:rPr>
      </w:pPr>
      <w:r w:rsidRPr="00440452">
        <w:rPr>
          <w:lang w:val="uk-UA"/>
        </w:rPr>
        <w:t xml:space="preserve"> </w:t>
      </w:r>
      <w:bookmarkStart w:id="0" w:name="_GoBack"/>
      <w:bookmarkEnd w:id="0"/>
    </w:p>
    <w:p w:rsidR="00440452" w:rsidRPr="00440452" w:rsidRDefault="00440452" w:rsidP="003F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0452">
        <w:rPr>
          <w:rFonts w:ascii="Times New Roman" w:hAnsi="Times New Roman" w:cs="Times New Roman"/>
          <w:sz w:val="28"/>
          <w:szCs w:val="28"/>
          <w:lang w:val="uk-UA"/>
        </w:rPr>
        <w:t>РОЗРАХУНОК</w:t>
      </w:r>
    </w:p>
    <w:p w:rsidR="00440452" w:rsidRPr="00440452" w:rsidRDefault="00440452" w:rsidP="003F777E">
      <w:pPr>
        <w:pStyle w:val="2"/>
        <w:spacing w:after="0" w:line="240" w:lineRule="auto"/>
        <w:ind w:right="6"/>
        <w:rPr>
          <w:b w:val="0"/>
          <w:lang w:val="uk-UA"/>
        </w:rPr>
      </w:pPr>
      <w:r w:rsidRPr="00440452">
        <w:rPr>
          <w:b w:val="0"/>
          <w:lang w:val="uk-UA"/>
        </w:rPr>
        <w:t>суми фінансової підтримки на покриття збитків від основної діяльності</w:t>
      </w:r>
    </w:p>
    <w:p w:rsidR="00440452" w:rsidRPr="003F777E" w:rsidRDefault="00440452" w:rsidP="003F777E">
      <w:pPr>
        <w:pStyle w:val="2"/>
        <w:spacing w:after="0" w:line="240" w:lineRule="auto"/>
        <w:ind w:right="6"/>
        <w:rPr>
          <w:szCs w:val="28"/>
          <w:lang w:val="uk-UA"/>
        </w:rPr>
      </w:pPr>
      <w:r w:rsidRPr="00440452">
        <w:rPr>
          <w:b w:val="0"/>
          <w:lang w:val="uk-UA"/>
        </w:rPr>
        <w:t>ДКП «</w:t>
      </w:r>
      <w:proofErr w:type="spellStart"/>
      <w:r w:rsidRPr="00440452">
        <w:rPr>
          <w:b w:val="0"/>
          <w:lang w:val="uk-UA"/>
        </w:rPr>
        <w:t>Луцьктепло</w:t>
      </w:r>
      <w:proofErr w:type="spellEnd"/>
      <w:r w:rsidRPr="00440452">
        <w:rPr>
          <w:b w:val="0"/>
          <w:szCs w:val="28"/>
          <w:lang w:val="uk-UA"/>
        </w:rPr>
        <w:t xml:space="preserve">» </w:t>
      </w:r>
      <w:r w:rsidRPr="003F777E">
        <w:rPr>
          <w:b w:val="0"/>
          <w:szCs w:val="28"/>
          <w:lang w:val="uk-UA"/>
        </w:rPr>
        <w:t>за _____________</w:t>
      </w:r>
    </w:p>
    <w:p w:rsidR="00440452" w:rsidRPr="00440452" w:rsidRDefault="00440452" w:rsidP="003F777E">
      <w:pPr>
        <w:spacing w:after="0" w:line="240" w:lineRule="auto"/>
        <w:ind w:left="3406" w:right="127" w:hanging="10"/>
        <w:rPr>
          <w:rFonts w:ascii="Times New Roman" w:hAnsi="Times New Roman" w:cs="Times New Roman"/>
          <w:sz w:val="24"/>
          <w:szCs w:val="24"/>
        </w:rPr>
      </w:pPr>
      <w:r w:rsidRPr="003F777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77E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3F777E">
        <w:rPr>
          <w:rFonts w:ascii="Times New Roman" w:hAnsi="Times New Roman" w:cs="Times New Roman"/>
          <w:sz w:val="24"/>
          <w:szCs w:val="24"/>
          <w:lang w:val="uk-UA"/>
        </w:rPr>
        <w:t>періо</w:t>
      </w:r>
      <w:proofErr w:type="spellEnd"/>
      <w:r w:rsidRPr="00440452">
        <w:rPr>
          <w:rFonts w:ascii="Times New Roman" w:hAnsi="Times New Roman" w:cs="Times New Roman"/>
          <w:sz w:val="24"/>
          <w:szCs w:val="24"/>
        </w:rPr>
        <w:t xml:space="preserve">д) </w:t>
      </w:r>
    </w:p>
    <w:p w:rsidR="00440452" w:rsidRPr="003F777E" w:rsidRDefault="00440452" w:rsidP="00440452">
      <w:pPr>
        <w:spacing w:after="0"/>
        <w:ind w:left="3406" w:right="127" w:hanging="10"/>
        <w:rPr>
          <w:rFonts w:ascii="Times New Roman" w:hAnsi="Times New Roman" w:cs="Times New Roman"/>
          <w:sz w:val="24"/>
          <w:szCs w:val="24"/>
        </w:rPr>
      </w:pPr>
      <w:r w:rsidRPr="003F777E">
        <w:rPr>
          <w:sz w:val="24"/>
          <w:szCs w:val="24"/>
        </w:rPr>
        <w:t xml:space="preserve">                                                                          </w:t>
      </w:r>
      <w:r w:rsidRPr="003F777E">
        <w:rPr>
          <w:sz w:val="24"/>
          <w:szCs w:val="24"/>
        </w:rPr>
        <w:tab/>
      </w:r>
    </w:p>
    <w:tbl>
      <w:tblPr>
        <w:tblStyle w:val="TableGrid"/>
        <w:tblW w:w="9614" w:type="dxa"/>
        <w:tblInd w:w="14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36"/>
        <w:gridCol w:w="6238"/>
        <w:gridCol w:w="1112"/>
        <w:gridCol w:w="1628"/>
      </w:tblGrid>
      <w:tr w:rsidR="00440452" w:rsidRPr="00065471" w:rsidTr="006D3602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15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40452" w:rsidRPr="003F777E" w:rsidRDefault="00440452" w:rsidP="003F5AD6">
            <w:pPr>
              <w:spacing w:after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44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40452" w:rsidRPr="003F777E" w:rsidRDefault="00440452" w:rsidP="00440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тому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основним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видом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тис.грн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40452" w:rsidRPr="00065471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Доходи –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фінансової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бюджету)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13E0B" w:rsidP="0041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0452"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0452" w:rsidRPr="003F77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ислі</w:t>
            </w:r>
            <w:proofErr w:type="spellEnd"/>
            <w:r w:rsidR="00440452"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065471" w:rsidTr="006D3602">
        <w:trPr>
          <w:trHeight w:val="2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413E0B">
            <w:pPr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постачання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теплової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енергії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гаряче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водопостачання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777E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41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доходи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розшифрувати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6D3602" w:rsidP="003F5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у т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ислі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DE06D7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заробітна</w:t>
            </w:r>
            <w:proofErr w:type="spellEnd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плата </w:t>
            </w:r>
            <w:r w:rsidR="00DE0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(крім преміальних, заохочувальних та компенсаційних виплат)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0452" w:rsidRPr="00DE06D7" w:rsidTr="006D3602">
        <w:trPr>
          <w:trHeight w:val="2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left="3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нарахування</w:t>
            </w:r>
            <w:proofErr w:type="spellEnd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оплату </w:t>
            </w:r>
            <w:proofErr w:type="spellStart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0452" w:rsidRPr="00065471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3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оплата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комунальних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0452" w:rsidRPr="00DE06D7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left="3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оплата </w:t>
            </w:r>
            <w:proofErr w:type="spellStart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DE06D7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0452" w:rsidRPr="00065471" w:rsidTr="006D3602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3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сплата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податків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обов’язкових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платежів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бюджету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інвентаря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2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розшифрувати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рядок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рядок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2):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збиток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065471" w:rsidTr="006D3602">
        <w:trPr>
          <w:trHeight w:val="3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70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spellEnd"/>
            <w:r w:rsidR="0070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70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підлягають</w:t>
            </w:r>
            <w:proofErr w:type="spellEnd"/>
            <w:r w:rsidR="0070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відшкодуванню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40452" w:rsidRPr="003F777E" w:rsidTr="006D3602">
        <w:trPr>
          <w:trHeight w:val="7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6D360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40452"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6D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Збитки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винятком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підлягають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відшкодуванню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рядок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3.2 – </w:t>
            </w:r>
            <w:proofErr w:type="spellStart"/>
            <w:r w:rsidR="006D3602" w:rsidRPr="003F777E">
              <w:rPr>
                <w:rFonts w:ascii="Times New Roman" w:hAnsi="Times New Roman" w:cs="Times New Roman"/>
                <w:sz w:val="24"/>
                <w:szCs w:val="24"/>
              </w:rPr>
              <w:t>рядок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9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6D360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0452"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77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Збитки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підлягають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відшкодуванню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бюджету</w:t>
            </w:r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дорівнюють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сумі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вказаній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р.</w:t>
            </w:r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гр.4, але </w:t>
            </w:r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суми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яка </w:t>
            </w:r>
            <w:proofErr w:type="spellStart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вказана</w:t>
            </w:r>
            <w:proofErr w:type="spellEnd"/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р.</w:t>
            </w:r>
            <w:r w:rsidR="006D3602" w:rsidRPr="003F7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гр.3)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5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6D360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0452"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777E">
            <w:pPr>
              <w:spacing w:after="0"/>
              <w:ind w:righ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фінансової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надана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бюджету за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звітний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452" w:rsidRPr="003F777E" w:rsidTr="006D3602">
        <w:trPr>
          <w:trHeight w:val="6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6D3602" w:rsidP="003F5AD6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52" w:rsidRPr="003F777E" w:rsidRDefault="00440452" w:rsidP="003F5A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фінансової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F777E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ідлягає</w:t>
            </w:r>
            <w:proofErr w:type="spellEnd"/>
            <w:r w:rsidR="003F777E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777E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поверненню</w:t>
            </w:r>
            <w:proofErr w:type="spellEnd"/>
            <w:r w:rsidR="003F777E"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бюджету за результатами </w:t>
            </w:r>
            <w:proofErr w:type="spellStart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3F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452" w:rsidRPr="003F777E" w:rsidRDefault="00440452" w:rsidP="003F5AD6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4791" w:rsidRDefault="00C24791" w:rsidP="003F777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C24791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B9F"/>
    <w:multiLevelType w:val="multilevel"/>
    <w:tmpl w:val="15049B18"/>
    <w:lvl w:ilvl="0">
      <w:start w:val="1"/>
      <w:numFmt w:val="decimal"/>
      <w:lvlText w:val="%1."/>
      <w:lvlJc w:val="left"/>
      <w:pPr>
        <w:tabs>
          <w:tab w:val="num" w:pos="720"/>
        </w:tabs>
        <w:ind w:left="164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36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08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80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52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24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96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68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408" w:hanging="180"/>
      </w:pPr>
    </w:lvl>
  </w:abstractNum>
  <w:abstractNum w:abstractNumId="1" w15:restartNumberingAfterBreak="0">
    <w:nsid w:val="2B756F02"/>
    <w:multiLevelType w:val="multilevel"/>
    <w:tmpl w:val="C5422736"/>
    <w:lvl w:ilvl="0">
      <w:start w:val="1"/>
      <w:numFmt w:val="decimal"/>
      <w:lvlText w:val="%1)"/>
      <w:lvlJc w:val="left"/>
      <w:pPr>
        <w:tabs>
          <w:tab w:val="num" w:pos="720"/>
        </w:tabs>
        <w:ind w:left="200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72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44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416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88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60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32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704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768" w:hanging="180"/>
      </w:pPr>
    </w:lvl>
  </w:abstractNum>
  <w:abstractNum w:abstractNumId="2" w15:restartNumberingAfterBreak="0">
    <w:nsid w:val="38B3644C"/>
    <w:multiLevelType w:val="hybridMultilevel"/>
    <w:tmpl w:val="E0C6C0AA"/>
    <w:lvl w:ilvl="0" w:tplc="45D2DC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404F"/>
    <w:multiLevelType w:val="multilevel"/>
    <w:tmpl w:val="BB6817CC"/>
    <w:lvl w:ilvl="0">
      <w:start w:val="1"/>
      <w:numFmt w:val="decimal"/>
      <w:lvlText w:val="%1."/>
      <w:lvlJc w:val="left"/>
      <w:pPr>
        <w:tabs>
          <w:tab w:val="num" w:pos="72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</w:lvl>
  </w:abstractNum>
  <w:abstractNum w:abstractNumId="4" w15:restartNumberingAfterBreak="0">
    <w:nsid w:val="5F451A52"/>
    <w:multiLevelType w:val="multilevel"/>
    <w:tmpl w:val="F594B0E4"/>
    <w:lvl w:ilvl="0">
      <w:start w:val="1"/>
      <w:numFmt w:val="decimal"/>
      <w:lvlText w:val="%1."/>
      <w:lvlJc w:val="left"/>
      <w:pPr>
        <w:tabs>
          <w:tab w:val="num" w:pos="72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</w:lvl>
  </w:abstractNum>
  <w:abstractNum w:abstractNumId="5" w15:restartNumberingAfterBreak="0">
    <w:nsid w:val="616361DC"/>
    <w:multiLevelType w:val="multilevel"/>
    <w:tmpl w:val="F0B026D4"/>
    <w:lvl w:ilvl="0">
      <w:start w:val="1"/>
      <w:numFmt w:val="decimal"/>
      <w:lvlText w:val="%1."/>
      <w:lvlJc w:val="left"/>
      <w:pPr>
        <w:tabs>
          <w:tab w:val="num" w:pos="720"/>
        </w:tabs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8" w:hanging="180"/>
      </w:pPr>
    </w:lvl>
  </w:abstractNum>
  <w:abstractNum w:abstractNumId="6" w15:restartNumberingAfterBreak="0">
    <w:nsid w:val="616E74D2"/>
    <w:multiLevelType w:val="multilevel"/>
    <w:tmpl w:val="D3A4F3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4BE25E6"/>
    <w:multiLevelType w:val="hybridMultilevel"/>
    <w:tmpl w:val="D632C1C4"/>
    <w:lvl w:ilvl="0" w:tplc="C5B435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1009F1"/>
    <w:multiLevelType w:val="multilevel"/>
    <w:tmpl w:val="1FE84F4E"/>
    <w:lvl w:ilvl="0">
      <w:start w:val="1"/>
      <w:numFmt w:val="decimal"/>
      <w:lvlText w:val="%1)"/>
      <w:lvlJc w:val="left"/>
      <w:pPr>
        <w:tabs>
          <w:tab w:val="num" w:pos="72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1"/>
    <w:rsid w:val="000055D5"/>
    <w:rsid w:val="00034CFA"/>
    <w:rsid w:val="00065471"/>
    <w:rsid w:val="000C1990"/>
    <w:rsid w:val="001850E7"/>
    <w:rsid w:val="001E5684"/>
    <w:rsid w:val="002A7C28"/>
    <w:rsid w:val="003539C5"/>
    <w:rsid w:val="003A75F7"/>
    <w:rsid w:val="003F777E"/>
    <w:rsid w:val="00413E0B"/>
    <w:rsid w:val="00440452"/>
    <w:rsid w:val="004B37CC"/>
    <w:rsid w:val="00517E9D"/>
    <w:rsid w:val="005E286F"/>
    <w:rsid w:val="006410F1"/>
    <w:rsid w:val="006D3602"/>
    <w:rsid w:val="00704850"/>
    <w:rsid w:val="008569BA"/>
    <w:rsid w:val="0087095F"/>
    <w:rsid w:val="00922ED4"/>
    <w:rsid w:val="00933EF0"/>
    <w:rsid w:val="00B278F1"/>
    <w:rsid w:val="00BF68D8"/>
    <w:rsid w:val="00C24791"/>
    <w:rsid w:val="00C40CD4"/>
    <w:rsid w:val="00C74D3B"/>
    <w:rsid w:val="00DE06D7"/>
    <w:rsid w:val="00E00414"/>
    <w:rsid w:val="00E10990"/>
    <w:rsid w:val="00F94DAD"/>
    <w:rsid w:val="00F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18F5"/>
  <w15:docId w15:val="{DBE7F83D-3154-4E90-AD71-B2E5F44F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next w:val="a"/>
    <w:link w:val="20"/>
    <w:uiPriority w:val="9"/>
    <w:unhideWhenUsed/>
    <w:qFormat/>
    <w:rsid w:val="00440452"/>
    <w:pPr>
      <w:keepNext/>
      <w:keepLines/>
      <w:suppressAutoHyphens w:val="0"/>
      <w:spacing w:after="5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663B5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Указатель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5B1B8E"/>
    <w:rPr>
      <w:sz w:val="22"/>
    </w:rPr>
  </w:style>
  <w:style w:type="paragraph" w:styleId="aa">
    <w:name w:val="Balloon Text"/>
    <w:basedOn w:val="a"/>
    <w:uiPriority w:val="99"/>
    <w:semiHidden/>
    <w:unhideWhenUsed/>
    <w:qFormat/>
    <w:rsid w:val="0066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4045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40452"/>
    <w:pPr>
      <w:suppressAutoHyphens w:val="0"/>
    </w:pPr>
    <w:rPr>
      <w:rFonts w:eastAsiaTheme="minorEastAsia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DBE4-5D86-4D89-9EC7-2F93B05E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6378</Words>
  <Characters>3637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hrelia</cp:lastModifiedBy>
  <cp:revision>39</cp:revision>
  <cp:lastPrinted>2021-01-14T12:45:00Z</cp:lastPrinted>
  <dcterms:created xsi:type="dcterms:W3CDTF">2021-04-15T14:43:00Z</dcterms:created>
  <dcterms:modified xsi:type="dcterms:W3CDTF">2021-08-06T10:33:00Z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