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453" w14:textId="77777777" w:rsidR="00307F5F" w:rsidRDefault="00DB215D">
      <w:pPr>
        <w:spacing w:after="0"/>
        <w:jc w:val="center"/>
        <w:rPr>
          <w:rFonts w:ascii="Times New Roman" w:hAnsi="Times New Roman"/>
          <w:sz w:val="28"/>
          <w:szCs w:val="28"/>
        </w:rPr>
      </w:pPr>
      <w:r>
        <w:rPr>
          <w:rFonts w:ascii="Times New Roman" w:hAnsi="Times New Roman" w:cs="Times New Roman"/>
          <w:sz w:val="28"/>
          <w:szCs w:val="28"/>
          <w:lang w:val="uk-UA"/>
        </w:rPr>
        <w:t>Пояснювальна записка</w:t>
      </w:r>
    </w:p>
    <w:p w14:paraId="65288647" w14:textId="77777777" w:rsidR="00307F5F" w:rsidRDefault="00DB215D">
      <w:pPr>
        <w:spacing w:after="0"/>
        <w:jc w:val="center"/>
        <w:rPr>
          <w:rFonts w:ascii="Times New Roman" w:hAnsi="Times New Roman"/>
        </w:rPr>
      </w:pPr>
      <w:r>
        <w:rPr>
          <w:rFonts w:ascii="Times New Roman" w:hAnsi="Times New Roman" w:cs="Times New Roman"/>
          <w:sz w:val="28"/>
          <w:szCs w:val="28"/>
          <w:lang w:val="uk-UA"/>
        </w:rPr>
        <w:t xml:space="preserve">до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рішення  виконавчого комітету “Про встановлення скоригованих тарифів </w:t>
      </w:r>
      <w:r>
        <w:rPr>
          <w:rFonts w:ascii="Times New Roman" w:hAnsi="Times New Roman"/>
          <w:sz w:val="28"/>
          <w:szCs w:val="28"/>
          <w:lang w:val="uk-UA"/>
        </w:rPr>
        <w:t xml:space="preserve">на теплову енергію та послуги,  </w:t>
      </w:r>
      <w:r>
        <w:rPr>
          <w:rFonts w:ascii="Times New Roman" w:hAnsi="Times New Roman"/>
          <w:sz w:val="28"/>
          <w:szCs w:val="28"/>
          <w:lang w:val="uk-UA"/>
        </w:rPr>
        <w:t>що надаються ДКП «</w:t>
      </w:r>
      <w:proofErr w:type="spellStart"/>
      <w:r>
        <w:rPr>
          <w:rFonts w:ascii="Times New Roman" w:hAnsi="Times New Roman"/>
          <w:sz w:val="28"/>
          <w:szCs w:val="28"/>
          <w:lang w:val="uk-UA"/>
        </w:rPr>
        <w:t>Луцьктепло</w:t>
      </w:r>
      <w:proofErr w:type="spellEnd"/>
      <w:r>
        <w:rPr>
          <w:rFonts w:ascii="Times New Roman" w:hAnsi="Times New Roman"/>
          <w:sz w:val="28"/>
          <w:szCs w:val="28"/>
          <w:lang w:val="uk-UA"/>
        </w:rPr>
        <w:t xml:space="preserve">» </w:t>
      </w:r>
    </w:p>
    <w:p w14:paraId="5EB43F7D" w14:textId="77777777" w:rsidR="00307F5F" w:rsidRDefault="00DB215D">
      <w:pPr>
        <w:pStyle w:val="af0"/>
        <w:spacing w:before="0" w:after="0"/>
        <w:jc w:val="both"/>
        <w:textAlignment w:val="baseline"/>
        <w:rPr>
          <w:rFonts w:ascii="Times New Roman" w:hAnsi="Times New Roman"/>
        </w:rPr>
      </w:pPr>
      <w:r>
        <w:rPr>
          <w:rFonts w:ascii="Times New Roman" w:hAnsi="Times New Roman"/>
          <w:sz w:val="28"/>
          <w:szCs w:val="28"/>
          <w:lang w:val="uk-UA"/>
        </w:rPr>
        <w:t xml:space="preserve">для потреб бюджетних установ, інших </w:t>
      </w:r>
      <w:r>
        <w:rPr>
          <w:rFonts w:ascii="Times New Roman" w:eastAsia="Times New Roman" w:hAnsi="Times New Roman" w:cs="Times New Roman"/>
          <w:sz w:val="28"/>
          <w:szCs w:val="28"/>
          <w:lang w:val="uk-UA"/>
        </w:rPr>
        <w:t xml:space="preserve">споживачів </w:t>
      </w:r>
      <w:r>
        <w:rPr>
          <w:rFonts w:ascii="Times New Roman" w:hAnsi="Times New Roman"/>
          <w:sz w:val="28"/>
          <w:szCs w:val="28"/>
          <w:lang w:val="uk-UA"/>
        </w:rPr>
        <w:t>та релігійних організацій</w:t>
      </w:r>
    </w:p>
    <w:p w14:paraId="43F47541" w14:textId="77777777" w:rsidR="00307F5F" w:rsidRDefault="00307F5F">
      <w:pPr>
        <w:spacing w:after="0"/>
        <w:jc w:val="center"/>
        <w:rPr>
          <w:rFonts w:ascii="Times New Roman" w:hAnsi="Times New Roman" w:cs="Times New Roman"/>
          <w:b/>
          <w:sz w:val="32"/>
          <w:szCs w:val="32"/>
          <w:lang w:val="uk-UA"/>
        </w:rPr>
      </w:pPr>
    </w:p>
    <w:p w14:paraId="14430619" w14:textId="77777777" w:rsidR="00307F5F" w:rsidRDefault="00DB215D">
      <w:pPr>
        <w:spacing w:after="0" w:line="240" w:lineRule="auto"/>
        <w:ind w:firstLine="720"/>
        <w:jc w:val="both"/>
      </w:pPr>
      <w:r>
        <w:rPr>
          <w:rFonts w:ascii="Times New Roman" w:hAnsi="Times New Roman"/>
          <w:bCs/>
          <w:sz w:val="28"/>
          <w:szCs w:val="28"/>
          <w:lang w:val="uk-UA"/>
        </w:rPr>
        <w:t>Коригування тарифів на теплову енергію виконані з дотриманням вимог постанови Кабінету Міністрів України від 01.06.2011 № 869 «Про забезпечення єдиного підходу до формування тарифів на житлово-комунальні послуги». Відповідно до статті 8 вищезгаданої постан</w:t>
      </w:r>
      <w:r>
        <w:rPr>
          <w:rFonts w:ascii="Times New Roman" w:hAnsi="Times New Roman"/>
          <w:bCs/>
          <w:sz w:val="28"/>
          <w:szCs w:val="28"/>
          <w:lang w:val="uk-UA"/>
        </w:rPr>
        <w:t>ови коригування тарифів здійснюється у разі зміни протягом дії тарифів обсягу окремих витрат, з причин, які не залежать від ліцензіата, зокрема збільшення розміру мінімальної заробітної плати та прожиткового мінімуму для працездатних осіб у державі, підвищ</w:t>
      </w:r>
      <w:r>
        <w:rPr>
          <w:rFonts w:ascii="Times New Roman" w:hAnsi="Times New Roman"/>
          <w:bCs/>
          <w:sz w:val="28"/>
          <w:szCs w:val="28"/>
          <w:lang w:val="uk-UA"/>
        </w:rPr>
        <w:t xml:space="preserve">ення або зниження цін і тарифів на паливно–енергетичні та інші матеріальні ресурси. </w:t>
      </w:r>
    </w:p>
    <w:p w14:paraId="6A4DAB7F" w14:textId="77777777" w:rsidR="00307F5F" w:rsidRDefault="00DB215D">
      <w:pPr>
        <w:widowControl w:val="0"/>
        <w:spacing w:after="0" w:line="240" w:lineRule="auto"/>
        <w:ind w:firstLine="708"/>
        <w:jc w:val="both"/>
        <w:rPr>
          <w:rFonts w:ascii="Times New Roman" w:hAnsi="Times New Roman" w:cs="Times New Roman"/>
          <w:color w:val="365F91" w:themeColor="accent1" w:themeShade="BF"/>
          <w:sz w:val="28"/>
          <w:szCs w:val="28"/>
          <w:lang w:val="uk-UA"/>
        </w:rPr>
      </w:pPr>
      <w:r>
        <w:rPr>
          <w:rFonts w:ascii="Times New Roman" w:hAnsi="Times New Roman"/>
          <w:bCs/>
          <w:sz w:val="28"/>
          <w:szCs w:val="28"/>
          <w:lang w:val="uk-UA"/>
        </w:rPr>
        <w:t>Коригуванню підлягають тарифи на теплову енергію (</w:t>
      </w:r>
      <w:r>
        <w:rPr>
          <w:rFonts w:ascii="Times New Roman" w:hAnsi="Times New Roman" w:cs="Times New Roman"/>
          <w:sz w:val="28"/>
          <w:szCs w:val="28"/>
          <w:lang w:val="uk-UA"/>
        </w:rPr>
        <w:t>змінна частина</w:t>
      </w:r>
      <w:r>
        <w:rPr>
          <w:rFonts w:ascii="Times New Roman" w:hAnsi="Times New Roman"/>
          <w:bCs/>
          <w:sz w:val="28"/>
          <w:szCs w:val="28"/>
          <w:lang w:val="uk-UA"/>
        </w:rPr>
        <w:t xml:space="preserve">) та послугу з постачання гарячої води, </w:t>
      </w:r>
      <w:r>
        <w:rPr>
          <w:rFonts w:ascii="Times New Roman" w:hAnsi="Times New Roman" w:cs="Times New Roman"/>
          <w:sz w:val="28"/>
          <w:szCs w:val="28"/>
          <w:lang w:val="uk-UA"/>
        </w:rPr>
        <w:t xml:space="preserve">встановлені рішенням виконавчого комітету Луцької міської ради від </w:t>
      </w:r>
      <w:r>
        <w:rPr>
          <w:rFonts w:ascii="Times New Roman" w:hAnsi="Times New Roman" w:cs="Times New Roman"/>
          <w:sz w:val="28"/>
          <w:szCs w:val="28"/>
          <w:lang w:val="uk-UA"/>
        </w:rPr>
        <w:t>30.09.2021 №</w:t>
      </w:r>
      <w:r>
        <w:rPr>
          <w:rFonts w:ascii="Times New Roman" w:hAnsi="Times New Roman" w:cs="Times New Roman"/>
          <w:sz w:val="28"/>
          <w:szCs w:val="28"/>
        </w:rPr>
        <w:t xml:space="preserve"> </w:t>
      </w:r>
      <w:r>
        <w:rPr>
          <w:rFonts w:ascii="Times New Roman" w:hAnsi="Times New Roman" w:cs="Times New Roman"/>
          <w:sz w:val="28"/>
          <w:szCs w:val="28"/>
          <w:lang w:val="uk-UA"/>
        </w:rPr>
        <w:t>775-1.</w:t>
      </w:r>
    </w:p>
    <w:p w14:paraId="40B90CBD" w14:textId="77777777" w:rsidR="00307F5F" w:rsidRDefault="00DB215D">
      <w:pPr>
        <w:spacing w:after="0" w:line="240" w:lineRule="auto"/>
        <w:ind w:firstLine="720"/>
        <w:jc w:val="both"/>
      </w:pPr>
      <w:r>
        <w:rPr>
          <w:rFonts w:ascii="Times New Roman" w:hAnsi="Times New Roman"/>
          <w:bCs/>
          <w:sz w:val="28"/>
          <w:szCs w:val="28"/>
          <w:lang w:val="uk-UA"/>
        </w:rPr>
        <w:t>Перерахунок тарифів проводився коригуванням лише тих складових  структури тарифів, за якими відбулись зміни цін. Так, цінові зміни на природний газ стосуються усіх категорій крім населення, тому коригуванню підлягають тарифи саме цих ка</w:t>
      </w:r>
      <w:r>
        <w:rPr>
          <w:rFonts w:ascii="Times New Roman" w:hAnsi="Times New Roman"/>
          <w:bCs/>
          <w:sz w:val="28"/>
          <w:szCs w:val="28"/>
          <w:lang w:val="uk-UA"/>
        </w:rPr>
        <w:t>тегорій споживачів, а саме «бюджетні установи», «інші споживачі», «релігійні організації». Крім того, відбувся  ріст вартості  електроенергії на  47 %.</w:t>
      </w:r>
    </w:p>
    <w:p w14:paraId="162A9431" w14:textId="77777777" w:rsidR="00307F5F" w:rsidRDefault="00DB215D">
      <w:pPr>
        <w:spacing w:after="0" w:line="240" w:lineRule="auto"/>
        <w:ind w:firstLine="720"/>
        <w:jc w:val="both"/>
        <w:rPr>
          <w:rFonts w:ascii="Times New Roman" w:hAnsi="Times New Roman"/>
          <w:bCs/>
          <w:sz w:val="28"/>
          <w:szCs w:val="28"/>
          <w:lang w:val="uk-UA"/>
        </w:rPr>
      </w:pPr>
      <w:r>
        <w:rPr>
          <w:rFonts w:ascii="Times New Roman" w:hAnsi="Times New Roman"/>
          <w:bCs/>
          <w:sz w:val="28"/>
          <w:szCs w:val="28"/>
          <w:lang w:val="uk-UA"/>
        </w:rPr>
        <w:t>Тарифи для категорії «населення» не коригуються, залишаються на рівні діючих, оскільки ціна природного г</w:t>
      </w:r>
      <w:r>
        <w:rPr>
          <w:rFonts w:ascii="Times New Roman" w:hAnsi="Times New Roman"/>
          <w:bCs/>
          <w:sz w:val="28"/>
          <w:szCs w:val="28"/>
          <w:lang w:val="uk-UA"/>
        </w:rPr>
        <w:t>азу для цієї категорії є сталою до травня 2022 року. Відшкодування витрат по статті електроенергія у цій категорії відбудеться за рахунок статті «Обігові кошти», які були передбачені при формуванні діючих тарифів.</w:t>
      </w:r>
    </w:p>
    <w:p w14:paraId="7A83D3FE" w14:textId="77777777" w:rsidR="00307F5F" w:rsidRDefault="00DB215D">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Витрати на природний газ (з врахуванням послуги транспортування) у діючих тарифах для «бюджетних установ» становлять 147,8 млн грн, у прогнозованих тарифах - 141,8 млн грн, що на 6 млн грн більше. </w:t>
      </w:r>
    </w:p>
    <w:p w14:paraId="2E68C052" w14:textId="77777777" w:rsidR="00307F5F" w:rsidRDefault="00DB215D">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Витрати на природний газ (з врахуванням послуги транспорту</w:t>
      </w:r>
      <w:r>
        <w:rPr>
          <w:rFonts w:ascii="Times New Roman" w:eastAsia="Times New Roman" w:hAnsi="Times New Roman" w:cs="Times New Roman"/>
          <w:sz w:val="28"/>
          <w:szCs w:val="28"/>
          <w:lang w:val="uk-UA" w:eastAsia="zh-CN"/>
        </w:rPr>
        <w:t xml:space="preserve">вання) у діючих тарифах для «інших споживачів» становлять 58,7 млн грн, у прогнозованих тарифах – 84,8 млн грн, що на 26,1 млн грн більше. </w:t>
      </w:r>
    </w:p>
    <w:p w14:paraId="03A6C5D0" w14:textId="77777777" w:rsidR="00307F5F" w:rsidRDefault="00DB215D">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Витрати на природний газ (з врахуванням послуги транспортування) у діючих тарифах для «релігійних організацій» стано</w:t>
      </w:r>
      <w:r>
        <w:rPr>
          <w:rFonts w:ascii="Times New Roman" w:eastAsia="Times New Roman" w:hAnsi="Times New Roman" w:cs="Times New Roman"/>
          <w:sz w:val="28"/>
          <w:szCs w:val="28"/>
          <w:lang w:val="uk-UA" w:eastAsia="zh-CN"/>
        </w:rPr>
        <w:t>влять 354,5 тис.</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uk-UA" w:eastAsia="zh-CN"/>
        </w:rPr>
        <w:t>грн, у прогнозованих тарифах – 340,2 тис.</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uk-UA" w:eastAsia="zh-CN"/>
        </w:rPr>
        <w:t>грн, що на 14,3 тис.</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uk-UA" w:eastAsia="zh-CN"/>
        </w:rPr>
        <w:t xml:space="preserve">грн більше. </w:t>
      </w:r>
    </w:p>
    <w:p w14:paraId="2FFF5CA2" w14:textId="77777777" w:rsidR="00307F5F" w:rsidRDefault="00DB215D">
      <w:pPr>
        <w:shd w:val="clear" w:color="auto" w:fill="FFFFFF"/>
        <w:spacing w:after="0" w:line="240" w:lineRule="auto"/>
        <w:ind w:firstLine="709"/>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Підставою є додаткові угоди до Договору постачання природного газу </w:t>
      </w:r>
      <w:r>
        <w:rPr>
          <w:rFonts w:ascii="Times New Roman" w:eastAsia="Times New Roman" w:hAnsi="Times New Roman" w:cs="Times New Roman"/>
          <w:sz w:val="28"/>
          <w:szCs w:val="28"/>
          <w:lang w:val="uk-UA" w:eastAsia="zh-CN"/>
        </w:rPr>
        <w:br/>
        <w:t>від 09.06.2021 №</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uk-UA" w:eastAsia="zh-CN"/>
        </w:rPr>
        <w:t xml:space="preserve">5534- НГТ -2 з ТОВ ГК «Нафтогаз </w:t>
      </w:r>
      <w:proofErr w:type="spellStart"/>
      <w:r>
        <w:rPr>
          <w:rFonts w:ascii="Times New Roman" w:eastAsia="Times New Roman" w:hAnsi="Times New Roman" w:cs="Times New Roman"/>
          <w:sz w:val="28"/>
          <w:szCs w:val="28"/>
          <w:lang w:val="uk-UA" w:eastAsia="zh-CN"/>
        </w:rPr>
        <w:t>Трейдинг</w:t>
      </w:r>
      <w:proofErr w:type="spellEnd"/>
      <w:r>
        <w:rPr>
          <w:rFonts w:ascii="Times New Roman" w:eastAsia="Times New Roman" w:hAnsi="Times New Roman" w:cs="Times New Roman"/>
          <w:sz w:val="28"/>
          <w:szCs w:val="28"/>
          <w:lang w:val="uk-UA" w:eastAsia="zh-CN"/>
        </w:rPr>
        <w:t xml:space="preserve">». </w:t>
      </w:r>
    </w:p>
    <w:p w14:paraId="729182CC" w14:textId="77777777" w:rsidR="00307F5F" w:rsidRDefault="00DB215D">
      <w:pPr>
        <w:shd w:val="clear" w:color="auto" w:fill="FFFFFF"/>
        <w:spacing w:after="0" w:line="240" w:lineRule="auto"/>
        <w:ind w:firstLine="709"/>
        <w:jc w:val="both"/>
      </w:pPr>
      <w:r>
        <w:rPr>
          <w:rFonts w:ascii="Times New Roman" w:hAnsi="Times New Roman" w:cs="Times New Roman"/>
          <w:sz w:val="28"/>
          <w:szCs w:val="28"/>
          <w:lang w:val="uk-UA"/>
        </w:rPr>
        <w:t>У діючих тарифах на теплову енергі</w:t>
      </w:r>
      <w:r>
        <w:rPr>
          <w:rFonts w:ascii="Times New Roman" w:hAnsi="Times New Roman" w:cs="Times New Roman"/>
          <w:sz w:val="28"/>
          <w:szCs w:val="28"/>
          <w:lang w:val="uk-UA"/>
        </w:rPr>
        <w:t>ю врахована ціна на електричну електроенергію (2 класу напруги) ПрАТ «</w:t>
      </w:r>
      <w:proofErr w:type="spellStart"/>
      <w:r>
        <w:rPr>
          <w:rFonts w:ascii="Times New Roman" w:hAnsi="Times New Roman" w:cs="Times New Roman"/>
          <w:sz w:val="28"/>
          <w:szCs w:val="28"/>
          <w:lang w:val="uk-UA"/>
        </w:rPr>
        <w:t>Волиньобленерго</w:t>
      </w:r>
      <w:proofErr w:type="spellEnd"/>
      <w:r>
        <w:rPr>
          <w:rFonts w:ascii="Times New Roman" w:hAnsi="Times New Roman" w:cs="Times New Roman"/>
          <w:sz w:val="28"/>
          <w:szCs w:val="28"/>
          <w:lang w:val="uk-UA"/>
        </w:rPr>
        <w:t xml:space="preserve">» у розмірі </w:t>
      </w:r>
      <w:r>
        <w:rPr>
          <w:rFonts w:ascii="Times New Roman" w:hAnsi="Times New Roman" w:cs="Times New Roman"/>
          <w:sz w:val="28"/>
          <w:szCs w:val="28"/>
          <w:lang w:val="uk-UA"/>
        </w:rPr>
        <w:br/>
        <w:t xml:space="preserve">2,19 грн/кВт*год., у даному </w:t>
      </w:r>
      <w:proofErr w:type="spellStart"/>
      <w:r>
        <w:rPr>
          <w:rFonts w:ascii="Times New Roman" w:hAnsi="Times New Roman" w:cs="Times New Roman"/>
          <w:sz w:val="28"/>
          <w:szCs w:val="28"/>
          <w:lang w:val="uk-UA"/>
        </w:rPr>
        <w:t>проєкті</w:t>
      </w:r>
      <w:proofErr w:type="spellEnd"/>
      <w:r>
        <w:rPr>
          <w:rFonts w:ascii="Times New Roman" w:hAnsi="Times New Roman" w:cs="Times New Roman"/>
          <w:sz w:val="28"/>
          <w:szCs w:val="28"/>
          <w:lang w:val="uk-UA"/>
        </w:rPr>
        <w:t xml:space="preserve"> тарифів – 3,23 грн/кВт*год (відповідно до договору від 24.09.2020 № ЕП-2020/02 з ТзОВ «</w:t>
      </w:r>
      <w:proofErr w:type="spellStart"/>
      <w:r>
        <w:rPr>
          <w:rFonts w:ascii="Times New Roman" w:hAnsi="Times New Roman" w:cs="Times New Roman"/>
          <w:sz w:val="28"/>
          <w:szCs w:val="28"/>
          <w:lang w:val="uk-UA"/>
        </w:rPr>
        <w:t>Електро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партнерс</w:t>
      </w:r>
      <w:proofErr w:type="spellEnd"/>
      <w:r>
        <w:rPr>
          <w:rFonts w:ascii="Times New Roman" w:hAnsi="Times New Roman" w:cs="Times New Roman"/>
          <w:sz w:val="28"/>
          <w:szCs w:val="28"/>
          <w:lang w:val="uk-UA"/>
        </w:rPr>
        <w:t>», акту надання пос</w:t>
      </w:r>
      <w:r>
        <w:rPr>
          <w:rFonts w:ascii="Times New Roman" w:hAnsi="Times New Roman" w:cs="Times New Roman"/>
          <w:sz w:val="28"/>
          <w:szCs w:val="28"/>
          <w:lang w:val="uk-UA"/>
        </w:rPr>
        <w:t xml:space="preserve">луг із зазначенням ціни електричної енергії). Вартість послуги розподілу електричної енергії залишилася без змін. Стаття «витрати на </w:t>
      </w:r>
      <w:r>
        <w:rPr>
          <w:rFonts w:ascii="Times New Roman" w:hAnsi="Times New Roman" w:cs="Times New Roman"/>
          <w:sz w:val="28"/>
          <w:szCs w:val="28"/>
          <w:lang w:val="uk-UA"/>
        </w:rPr>
        <w:lastRenderedPageBreak/>
        <w:t>електроенергію» у діючих тарифах на теплову енергію становила – 60,8 млн грн, у планових тарифах 83,4 млн грн. Таким чином,</w:t>
      </w:r>
      <w:r>
        <w:rPr>
          <w:rFonts w:ascii="Times New Roman" w:hAnsi="Times New Roman" w:cs="Times New Roman"/>
          <w:sz w:val="28"/>
          <w:szCs w:val="28"/>
          <w:lang w:val="uk-UA"/>
        </w:rPr>
        <w:t xml:space="preserve"> відбувся ріст витрат на електроенергію для виробництва, транспортування та постачання теплової енергії на 22,6 млн грн, або 30 % у порівнянні з діючими тарифами на теплову енергію.</w:t>
      </w:r>
    </w:p>
    <w:p w14:paraId="5353C50B" w14:textId="77777777" w:rsidR="00307F5F" w:rsidRDefault="00307F5F">
      <w:pPr>
        <w:spacing w:after="0" w:line="240" w:lineRule="auto"/>
        <w:jc w:val="center"/>
        <w:rPr>
          <w:rFonts w:ascii="Times New Roman" w:hAnsi="Times New Roman"/>
          <w:bCs/>
          <w:sz w:val="28"/>
          <w:szCs w:val="28"/>
          <w:lang w:val="uk-UA"/>
        </w:rPr>
      </w:pPr>
    </w:p>
    <w:p w14:paraId="4FBB176E" w14:textId="77777777" w:rsidR="00307F5F" w:rsidRDefault="00307F5F">
      <w:pPr>
        <w:spacing w:after="0" w:line="240" w:lineRule="auto"/>
        <w:jc w:val="center"/>
        <w:rPr>
          <w:rFonts w:ascii="Times New Roman" w:hAnsi="Times New Roman"/>
          <w:bCs/>
          <w:sz w:val="28"/>
          <w:szCs w:val="28"/>
          <w:lang w:val="uk-UA"/>
        </w:rPr>
      </w:pPr>
    </w:p>
    <w:p w14:paraId="577EA808" w14:textId="77777777" w:rsidR="00307F5F" w:rsidRDefault="00DB215D">
      <w:pPr>
        <w:spacing w:after="0" w:line="240" w:lineRule="auto"/>
        <w:jc w:val="center"/>
      </w:pPr>
      <w:r>
        <w:rPr>
          <w:rFonts w:ascii="Times New Roman" w:hAnsi="Times New Roman"/>
          <w:bCs/>
          <w:sz w:val="28"/>
          <w:szCs w:val="28"/>
          <w:lang w:val="uk-UA"/>
        </w:rPr>
        <w:t xml:space="preserve">Порівняльна таблиця цін на природний газ, які враховані </w:t>
      </w:r>
    </w:p>
    <w:p w14:paraId="31012947" w14:textId="77777777" w:rsidR="00307F5F" w:rsidRDefault="00DB215D">
      <w:pPr>
        <w:spacing w:after="0" w:line="240" w:lineRule="auto"/>
        <w:jc w:val="center"/>
      </w:pPr>
      <w:r>
        <w:rPr>
          <w:rFonts w:ascii="Times New Roman" w:hAnsi="Times New Roman"/>
          <w:bCs/>
          <w:sz w:val="28"/>
          <w:szCs w:val="28"/>
          <w:lang w:val="uk-UA"/>
        </w:rPr>
        <w:t xml:space="preserve">у діючих та </w:t>
      </w:r>
      <w:proofErr w:type="spellStart"/>
      <w:r>
        <w:rPr>
          <w:rFonts w:ascii="Times New Roman" w:hAnsi="Times New Roman"/>
          <w:bCs/>
          <w:sz w:val="28"/>
          <w:szCs w:val="28"/>
          <w:lang w:val="uk-UA"/>
        </w:rPr>
        <w:t>про</w:t>
      </w:r>
      <w:r>
        <w:rPr>
          <w:rFonts w:ascii="Times New Roman" w:hAnsi="Times New Roman"/>
          <w:bCs/>
          <w:sz w:val="28"/>
          <w:szCs w:val="28"/>
          <w:lang w:val="uk-UA"/>
        </w:rPr>
        <w:t>єктах</w:t>
      </w:r>
      <w:proofErr w:type="spellEnd"/>
      <w:r>
        <w:rPr>
          <w:rFonts w:ascii="Times New Roman" w:hAnsi="Times New Roman"/>
          <w:bCs/>
          <w:sz w:val="28"/>
          <w:szCs w:val="28"/>
          <w:lang w:val="uk-UA"/>
        </w:rPr>
        <w:t xml:space="preserve"> тарифів ДКП «</w:t>
      </w:r>
      <w:proofErr w:type="spellStart"/>
      <w:r>
        <w:rPr>
          <w:rFonts w:ascii="Times New Roman" w:hAnsi="Times New Roman"/>
          <w:bCs/>
          <w:sz w:val="28"/>
          <w:szCs w:val="28"/>
          <w:lang w:val="uk-UA"/>
        </w:rPr>
        <w:t>Луцьктепло</w:t>
      </w:r>
      <w:proofErr w:type="spellEnd"/>
      <w:r>
        <w:rPr>
          <w:rFonts w:ascii="Times New Roman" w:hAnsi="Times New Roman"/>
          <w:bCs/>
          <w:sz w:val="28"/>
          <w:szCs w:val="28"/>
          <w:lang w:val="uk-UA"/>
        </w:rPr>
        <w:t xml:space="preserve">» </w:t>
      </w:r>
    </w:p>
    <w:p w14:paraId="149951A0" w14:textId="77777777" w:rsidR="00307F5F" w:rsidRDefault="00DB215D">
      <w:pPr>
        <w:spacing w:after="0" w:line="240" w:lineRule="auto"/>
        <w:jc w:val="right"/>
        <w:rPr>
          <w:rFonts w:ascii="Times New Roman" w:eastAsia="Times New Roman" w:hAnsi="Times New Roman"/>
          <w:sz w:val="24"/>
          <w:szCs w:val="24"/>
          <w:lang w:val="uk-UA" w:eastAsia="zh-CN"/>
        </w:rPr>
      </w:pPr>
      <w:r>
        <w:rPr>
          <w:rFonts w:ascii="Times New Roman" w:hAnsi="Times New Roman"/>
          <w:bCs/>
          <w:sz w:val="24"/>
          <w:szCs w:val="24"/>
          <w:lang w:val="uk-UA"/>
        </w:rPr>
        <w:t>З ПДВ</w:t>
      </w:r>
    </w:p>
    <w:tbl>
      <w:tblPr>
        <w:tblW w:w="9405" w:type="dxa"/>
        <w:tblInd w:w="118" w:type="dxa"/>
        <w:tblLook w:val="04A0" w:firstRow="1" w:lastRow="0" w:firstColumn="1" w:lastColumn="0" w:noHBand="0" w:noVBand="1"/>
      </w:tblPr>
      <w:tblGrid>
        <w:gridCol w:w="3158"/>
        <w:gridCol w:w="2000"/>
        <w:gridCol w:w="1956"/>
        <w:gridCol w:w="2291"/>
      </w:tblGrid>
      <w:tr w:rsidR="00307F5F" w14:paraId="0D39E939" w14:textId="77777777">
        <w:trPr>
          <w:trHeight w:val="1695"/>
        </w:trPr>
        <w:tc>
          <w:tcPr>
            <w:tcW w:w="3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2FE1" w14:textId="77777777" w:rsidR="00307F5F" w:rsidRDefault="00DB215D">
            <w:pPr>
              <w:widowControl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lang w:val="uk-UA"/>
              </w:rPr>
              <w:t>На</w:t>
            </w:r>
            <w:proofErr w:type="spellStart"/>
            <w:r>
              <w:rPr>
                <w:rFonts w:ascii="Times New Roman" w:eastAsia="Times New Roman" w:hAnsi="Times New Roman"/>
                <w:color w:val="000000"/>
                <w:sz w:val="28"/>
                <w:szCs w:val="28"/>
              </w:rPr>
              <w:t>йменування</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показника</w:t>
            </w:r>
            <w:proofErr w:type="spellEnd"/>
          </w:p>
        </w:tc>
        <w:tc>
          <w:tcPr>
            <w:tcW w:w="1951" w:type="dxa"/>
            <w:tcBorders>
              <w:top w:val="single" w:sz="4" w:space="0" w:color="000000"/>
              <w:bottom w:val="single" w:sz="4" w:space="0" w:color="000000"/>
              <w:right w:val="single" w:sz="4" w:space="0" w:color="000000"/>
            </w:tcBorders>
            <w:shd w:val="clear" w:color="auto" w:fill="auto"/>
          </w:tcPr>
          <w:p w14:paraId="3882B2E4" w14:textId="77777777" w:rsidR="00307F5F" w:rsidRDefault="00DB215D">
            <w:pPr>
              <w:widowControl w:val="0"/>
              <w:jc w:val="center"/>
              <w:rPr>
                <w:rFonts w:ascii="Times New Roman" w:hAnsi="Times New Roman" w:cs="Times New Roman"/>
                <w:sz w:val="28"/>
                <w:szCs w:val="28"/>
              </w:rPr>
            </w:pPr>
            <w:proofErr w:type="spellStart"/>
            <w:r>
              <w:rPr>
                <w:rFonts w:ascii="Times New Roman" w:hAnsi="Times New Roman" w:cs="Times New Roman"/>
                <w:sz w:val="28"/>
                <w:szCs w:val="28"/>
              </w:rPr>
              <w:t>Враховано</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двоставковому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тарифі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30.09.2021</w:t>
            </w:r>
          </w:p>
        </w:tc>
        <w:tc>
          <w:tcPr>
            <w:tcW w:w="1965" w:type="dxa"/>
            <w:tcBorders>
              <w:top w:val="single" w:sz="4" w:space="0" w:color="000000"/>
              <w:bottom w:val="single" w:sz="4" w:space="0" w:color="000000"/>
              <w:right w:val="single" w:sz="4" w:space="0" w:color="000000"/>
            </w:tcBorders>
            <w:shd w:val="clear" w:color="auto" w:fill="auto"/>
          </w:tcPr>
          <w:p w14:paraId="09159ABD" w14:textId="77777777" w:rsidR="00307F5F" w:rsidRDefault="00DB215D">
            <w:pPr>
              <w:widowControl w:val="0"/>
              <w:jc w:val="center"/>
              <w:rPr>
                <w:rFonts w:ascii="Times New Roman" w:hAnsi="Times New Roman" w:cs="Times New Roman"/>
                <w:sz w:val="28"/>
                <w:szCs w:val="28"/>
              </w:rPr>
            </w:pPr>
            <w:proofErr w:type="spellStart"/>
            <w:r>
              <w:rPr>
                <w:rFonts w:ascii="Times New Roman" w:hAnsi="Times New Roman" w:cs="Times New Roman"/>
                <w:sz w:val="28"/>
                <w:szCs w:val="28"/>
              </w:rPr>
              <w:t>Враховано</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проєкті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двоставкового</w:t>
            </w:r>
            <w:proofErr w:type="spellEnd"/>
            <w:r>
              <w:rPr>
                <w:rFonts w:ascii="Times New Roman" w:hAnsi="Times New Roman" w:cs="Times New Roman"/>
                <w:sz w:val="28"/>
                <w:szCs w:val="28"/>
              </w:rPr>
              <w:t xml:space="preserve">  тарифу</w:t>
            </w:r>
          </w:p>
        </w:tc>
        <w:tc>
          <w:tcPr>
            <w:tcW w:w="1754" w:type="dxa"/>
            <w:tcBorders>
              <w:top w:val="single" w:sz="4" w:space="0" w:color="000000"/>
              <w:bottom w:val="single" w:sz="4" w:space="0" w:color="000000"/>
              <w:right w:val="single" w:sz="4" w:space="0" w:color="000000"/>
            </w:tcBorders>
            <w:shd w:val="clear" w:color="auto" w:fill="auto"/>
            <w:vAlign w:val="center"/>
          </w:tcPr>
          <w:p w14:paraId="1CDE0A32" w14:textId="77777777" w:rsidR="00307F5F" w:rsidRDefault="00DB215D">
            <w:pPr>
              <w:widowControl w:val="0"/>
              <w:tabs>
                <w:tab w:val="left" w:pos="390"/>
              </w:tabs>
              <w:spacing w:after="0" w:line="240" w:lineRule="auto"/>
              <w:jc w:val="center"/>
            </w:pPr>
            <w:r>
              <w:rPr>
                <w:rFonts w:ascii="Times New Roman" w:eastAsia="Times New Roman" w:hAnsi="Times New Roman"/>
                <w:color w:val="000000"/>
                <w:sz w:val="28"/>
                <w:szCs w:val="28"/>
                <w:lang w:val="uk-UA"/>
              </w:rPr>
              <w:t>Індекс росту/зменшення</w:t>
            </w:r>
          </w:p>
        </w:tc>
      </w:tr>
      <w:tr w:rsidR="00307F5F" w14:paraId="79F850F2" w14:textId="77777777">
        <w:trPr>
          <w:trHeight w:val="1350"/>
        </w:trPr>
        <w:tc>
          <w:tcPr>
            <w:tcW w:w="3734" w:type="dxa"/>
            <w:tcBorders>
              <w:left w:val="single" w:sz="4" w:space="0" w:color="000000"/>
              <w:bottom w:val="single" w:sz="4" w:space="0" w:color="000000"/>
              <w:right w:val="single" w:sz="4" w:space="0" w:color="000000"/>
            </w:tcBorders>
            <w:shd w:val="clear" w:color="auto" w:fill="auto"/>
            <w:vAlign w:val="center"/>
          </w:tcPr>
          <w:p w14:paraId="01B4E702" w14:textId="77777777" w:rsidR="00307F5F" w:rsidRDefault="00DB215D">
            <w:pPr>
              <w:widowControl w:val="0"/>
              <w:spacing w:after="0" w:line="240" w:lineRule="auto"/>
              <w:jc w:val="both"/>
            </w:pPr>
            <w:proofErr w:type="spellStart"/>
            <w:r>
              <w:rPr>
                <w:rFonts w:ascii="Times New Roman" w:eastAsia="Times New Roman" w:hAnsi="Times New Roman"/>
                <w:color w:val="000000"/>
                <w:sz w:val="28"/>
                <w:szCs w:val="28"/>
              </w:rPr>
              <w:t>Ціна</w:t>
            </w:r>
            <w:proofErr w:type="spellEnd"/>
            <w:r>
              <w:rPr>
                <w:rFonts w:ascii="Times New Roman" w:eastAsia="Times New Roman" w:hAnsi="Times New Roman"/>
                <w:color w:val="000000"/>
                <w:sz w:val="28"/>
                <w:szCs w:val="28"/>
              </w:rPr>
              <w:t xml:space="preserve"> природного газу </w:t>
            </w:r>
            <w:r>
              <w:rPr>
                <w:rFonts w:ascii="Times New Roman" w:eastAsia="Times New Roman" w:hAnsi="Times New Roman"/>
                <w:color w:val="000000"/>
                <w:sz w:val="28"/>
                <w:szCs w:val="28"/>
                <w:lang w:val="uk-UA"/>
              </w:rPr>
              <w:t>для категорії «</w:t>
            </w:r>
            <w:r>
              <w:rPr>
                <w:rFonts w:ascii="Times New Roman" w:eastAsia="Times New Roman" w:hAnsi="Times New Roman"/>
                <w:b/>
                <w:color w:val="000000"/>
                <w:sz w:val="24"/>
                <w:szCs w:val="24"/>
                <w:lang w:val="uk-UA"/>
              </w:rPr>
              <w:t>населення»</w:t>
            </w:r>
            <w:r>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4"/>
                <w:szCs w:val="24"/>
              </w:rPr>
              <w:t xml:space="preserve">(без </w:t>
            </w:r>
            <w:proofErr w:type="spellStart"/>
            <w:r>
              <w:rPr>
                <w:rFonts w:ascii="Times New Roman" w:eastAsia="Times New Roman" w:hAnsi="Times New Roman"/>
                <w:color w:val="000000"/>
                <w:sz w:val="24"/>
                <w:szCs w:val="24"/>
              </w:rPr>
              <w:t>врахування</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послуги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його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транспортування</w:t>
            </w:r>
            <w:proofErr w:type="spellEnd"/>
            <w:r>
              <w:rPr>
                <w:rFonts w:ascii="Times New Roman" w:eastAsia="Times New Roman" w:hAnsi="Times New Roman"/>
                <w:color w:val="000000"/>
                <w:sz w:val="24"/>
                <w:szCs w:val="24"/>
              </w:rPr>
              <w:t xml:space="preserve"> та </w:t>
            </w:r>
            <w:proofErr w:type="spellStart"/>
            <w:r>
              <w:rPr>
                <w:rFonts w:ascii="Times New Roman" w:eastAsia="Times New Roman" w:hAnsi="Times New Roman"/>
                <w:color w:val="000000"/>
                <w:sz w:val="24"/>
                <w:szCs w:val="24"/>
              </w:rPr>
              <w:t>розподілу</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грн</w:t>
            </w:r>
            <w:proofErr w:type="spellEnd"/>
            <w:r>
              <w:rPr>
                <w:rFonts w:ascii="Times New Roman" w:eastAsia="Times New Roman" w:hAnsi="Times New Roman"/>
                <w:color w:val="000000"/>
                <w:sz w:val="24"/>
                <w:szCs w:val="24"/>
              </w:rPr>
              <w:t xml:space="preserve">/1000 </w:t>
            </w:r>
            <w:proofErr w:type="spellStart"/>
            <w:r>
              <w:rPr>
                <w:rFonts w:ascii="Times New Roman" w:eastAsia="Times New Roman" w:hAnsi="Times New Roman"/>
                <w:color w:val="000000"/>
                <w:sz w:val="24"/>
                <w:szCs w:val="24"/>
              </w:rPr>
              <w:t>куб.м</w:t>
            </w:r>
            <w:proofErr w:type="spellEnd"/>
            <w:r>
              <w:rPr>
                <w:rFonts w:ascii="Times New Roman" w:eastAsia="Times New Roman" w:hAnsi="Times New Roman"/>
                <w:color w:val="000000"/>
                <w:sz w:val="24"/>
                <w:szCs w:val="24"/>
              </w:rPr>
              <w:t xml:space="preserve"> </w:t>
            </w:r>
          </w:p>
        </w:tc>
        <w:tc>
          <w:tcPr>
            <w:tcW w:w="1951" w:type="dxa"/>
            <w:tcBorders>
              <w:bottom w:val="single" w:sz="4" w:space="0" w:color="000000"/>
              <w:right w:val="single" w:sz="4" w:space="0" w:color="000000"/>
            </w:tcBorders>
            <w:shd w:val="clear" w:color="000000" w:fill="FFFFFF"/>
          </w:tcPr>
          <w:p w14:paraId="140EED27"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1BACB834"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4C2374DD" w14:textId="77777777" w:rsidR="00307F5F" w:rsidRDefault="00DB215D">
            <w:pPr>
              <w:widowControl w:val="0"/>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7420,00</w:t>
            </w:r>
          </w:p>
        </w:tc>
        <w:tc>
          <w:tcPr>
            <w:tcW w:w="1965" w:type="dxa"/>
            <w:tcBorders>
              <w:bottom w:val="single" w:sz="4" w:space="0" w:color="000000"/>
              <w:right w:val="single" w:sz="4" w:space="0" w:color="000000"/>
            </w:tcBorders>
            <w:shd w:val="clear" w:color="000000" w:fill="FFFFFF"/>
          </w:tcPr>
          <w:p w14:paraId="07471130"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4C6B1C2E"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4424DDF6" w14:textId="77777777" w:rsidR="00307F5F" w:rsidRDefault="00DB215D">
            <w:pPr>
              <w:widowControl w:val="0"/>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7420,00</w:t>
            </w:r>
          </w:p>
        </w:tc>
        <w:tc>
          <w:tcPr>
            <w:tcW w:w="1754" w:type="dxa"/>
            <w:tcBorders>
              <w:bottom w:val="single" w:sz="4" w:space="0" w:color="000000"/>
              <w:right w:val="single" w:sz="4" w:space="0" w:color="000000"/>
            </w:tcBorders>
            <w:shd w:val="clear" w:color="auto" w:fill="auto"/>
            <w:vAlign w:val="center"/>
          </w:tcPr>
          <w:p w14:paraId="55640A9F" w14:textId="77777777" w:rsidR="00307F5F" w:rsidRDefault="00DB215D">
            <w:pPr>
              <w:widowControl w:val="0"/>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0</w:t>
            </w:r>
          </w:p>
        </w:tc>
      </w:tr>
      <w:tr w:rsidR="00307F5F" w14:paraId="08796D53" w14:textId="77777777">
        <w:trPr>
          <w:trHeight w:val="1350"/>
        </w:trPr>
        <w:tc>
          <w:tcPr>
            <w:tcW w:w="3734" w:type="dxa"/>
            <w:tcBorders>
              <w:left w:val="single" w:sz="4" w:space="0" w:color="000000"/>
              <w:bottom w:val="single" w:sz="4" w:space="0" w:color="000000"/>
              <w:right w:val="single" w:sz="4" w:space="0" w:color="000000"/>
            </w:tcBorders>
            <w:shd w:val="clear" w:color="auto" w:fill="auto"/>
            <w:vAlign w:val="center"/>
          </w:tcPr>
          <w:p w14:paraId="4646564A" w14:textId="77777777" w:rsidR="00307F5F" w:rsidRDefault="00DB215D">
            <w:pPr>
              <w:widowControl w:val="0"/>
              <w:spacing w:after="0" w:line="240" w:lineRule="auto"/>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Ціна</w:t>
            </w:r>
            <w:proofErr w:type="spellEnd"/>
            <w:r>
              <w:rPr>
                <w:rFonts w:ascii="Times New Roman" w:eastAsia="Times New Roman" w:hAnsi="Times New Roman"/>
                <w:color w:val="000000"/>
                <w:sz w:val="28"/>
                <w:szCs w:val="28"/>
              </w:rPr>
              <w:t xml:space="preserve"> природного газу </w:t>
            </w:r>
            <w:r>
              <w:rPr>
                <w:rFonts w:ascii="Times New Roman" w:eastAsia="Times New Roman" w:hAnsi="Times New Roman"/>
                <w:color w:val="000000"/>
                <w:sz w:val="28"/>
                <w:szCs w:val="28"/>
                <w:lang w:val="uk-UA"/>
              </w:rPr>
              <w:t xml:space="preserve">для категорії </w:t>
            </w:r>
            <w:r>
              <w:rPr>
                <w:rFonts w:ascii="Times New Roman" w:eastAsia="Times New Roman" w:hAnsi="Times New Roman"/>
                <w:b/>
                <w:color w:val="000000"/>
                <w:sz w:val="24"/>
                <w:szCs w:val="24"/>
                <w:lang w:val="uk-UA"/>
              </w:rPr>
              <w:t>«бюджетні установи», «релігійні організації»</w:t>
            </w:r>
            <w:r>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4"/>
                <w:szCs w:val="24"/>
              </w:rPr>
              <w:t xml:space="preserve">(без </w:t>
            </w:r>
            <w:proofErr w:type="spellStart"/>
            <w:r>
              <w:rPr>
                <w:rFonts w:ascii="Times New Roman" w:eastAsia="Times New Roman" w:hAnsi="Times New Roman"/>
                <w:color w:val="000000"/>
                <w:sz w:val="24"/>
                <w:szCs w:val="24"/>
              </w:rPr>
              <w:t>врахування</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послуги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його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транспортування</w:t>
            </w:r>
            <w:proofErr w:type="spellEnd"/>
            <w:r>
              <w:rPr>
                <w:rFonts w:ascii="Times New Roman" w:eastAsia="Times New Roman" w:hAnsi="Times New Roman"/>
                <w:color w:val="000000"/>
                <w:sz w:val="24"/>
                <w:szCs w:val="24"/>
              </w:rPr>
              <w:t xml:space="preserve"> та </w:t>
            </w:r>
            <w:proofErr w:type="spellStart"/>
            <w:r>
              <w:rPr>
                <w:rFonts w:ascii="Times New Roman" w:eastAsia="Times New Roman" w:hAnsi="Times New Roman"/>
                <w:color w:val="000000"/>
                <w:sz w:val="24"/>
                <w:szCs w:val="24"/>
              </w:rPr>
              <w:t>розподілу</w:t>
            </w:r>
            <w:proofErr w:type="spellEnd"/>
            <w:r>
              <w:rPr>
                <w:rFonts w:ascii="Times New Roman" w:eastAsia="Times New Roman" w:hAnsi="Times New Roman"/>
                <w:color w:val="000000"/>
                <w:sz w:val="24"/>
                <w:szCs w:val="24"/>
              </w:rPr>
              <w:t>) ,</w:t>
            </w:r>
            <w:proofErr w:type="spellStart"/>
            <w:r>
              <w:rPr>
                <w:rFonts w:ascii="Times New Roman" w:eastAsia="Times New Roman" w:hAnsi="Times New Roman"/>
                <w:color w:val="000000"/>
                <w:sz w:val="24"/>
                <w:szCs w:val="24"/>
              </w:rPr>
              <w:t>грн</w:t>
            </w:r>
            <w:proofErr w:type="spellEnd"/>
            <w:r>
              <w:rPr>
                <w:rFonts w:ascii="Times New Roman" w:eastAsia="Times New Roman" w:hAnsi="Times New Roman"/>
                <w:color w:val="000000"/>
                <w:sz w:val="24"/>
                <w:szCs w:val="24"/>
              </w:rPr>
              <w:t xml:space="preserve">/1000 </w:t>
            </w:r>
            <w:proofErr w:type="spellStart"/>
            <w:r>
              <w:rPr>
                <w:rFonts w:ascii="Times New Roman" w:eastAsia="Times New Roman" w:hAnsi="Times New Roman"/>
                <w:color w:val="000000"/>
                <w:sz w:val="24"/>
                <w:szCs w:val="24"/>
              </w:rPr>
              <w:t>куб.м</w:t>
            </w:r>
            <w:proofErr w:type="spellEnd"/>
            <w:r>
              <w:rPr>
                <w:rFonts w:ascii="Times New Roman" w:eastAsia="Times New Roman" w:hAnsi="Times New Roman"/>
                <w:color w:val="000000"/>
                <w:sz w:val="24"/>
                <w:szCs w:val="24"/>
              </w:rPr>
              <w:t xml:space="preserve"> </w:t>
            </w:r>
          </w:p>
        </w:tc>
        <w:tc>
          <w:tcPr>
            <w:tcW w:w="1951" w:type="dxa"/>
            <w:tcBorders>
              <w:bottom w:val="single" w:sz="4" w:space="0" w:color="000000"/>
              <w:right w:val="single" w:sz="4" w:space="0" w:color="000000"/>
            </w:tcBorders>
            <w:shd w:val="clear" w:color="000000" w:fill="FFFFFF"/>
          </w:tcPr>
          <w:p w14:paraId="136930D3"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4582BD42"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43A36611" w14:textId="77777777" w:rsidR="00307F5F" w:rsidRDefault="00DB215D">
            <w:pPr>
              <w:widowControl w:val="0"/>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17100,23</w:t>
            </w:r>
          </w:p>
        </w:tc>
        <w:tc>
          <w:tcPr>
            <w:tcW w:w="1965" w:type="dxa"/>
            <w:tcBorders>
              <w:bottom w:val="single" w:sz="4" w:space="0" w:color="000000"/>
              <w:right w:val="single" w:sz="4" w:space="0" w:color="000000"/>
            </w:tcBorders>
            <w:shd w:val="clear" w:color="000000" w:fill="FFFFFF"/>
          </w:tcPr>
          <w:p w14:paraId="6E8F72E3"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10377111"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39F963BB" w14:textId="77777777" w:rsidR="00307F5F" w:rsidRDefault="00DB215D">
            <w:pPr>
              <w:widowControl w:val="0"/>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16390,10</w:t>
            </w:r>
          </w:p>
        </w:tc>
        <w:tc>
          <w:tcPr>
            <w:tcW w:w="1754" w:type="dxa"/>
            <w:tcBorders>
              <w:bottom w:val="single" w:sz="4" w:space="0" w:color="000000"/>
              <w:right w:val="single" w:sz="4" w:space="0" w:color="000000"/>
            </w:tcBorders>
            <w:shd w:val="clear" w:color="auto" w:fill="auto"/>
            <w:vAlign w:val="center"/>
          </w:tcPr>
          <w:p w14:paraId="2F73CC82" w14:textId="77777777" w:rsidR="00307F5F" w:rsidRDefault="00DB215D">
            <w:pPr>
              <w:widowControl w:val="0"/>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-4,15</w:t>
            </w:r>
          </w:p>
        </w:tc>
      </w:tr>
      <w:tr w:rsidR="00307F5F" w14:paraId="4B62FBF8" w14:textId="77777777">
        <w:trPr>
          <w:trHeight w:val="960"/>
        </w:trPr>
        <w:tc>
          <w:tcPr>
            <w:tcW w:w="3734" w:type="dxa"/>
            <w:tcBorders>
              <w:left w:val="single" w:sz="4" w:space="0" w:color="000000"/>
              <w:right w:val="single" w:sz="4" w:space="0" w:color="000000"/>
            </w:tcBorders>
            <w:shd w:val="clear" w:color="auto" w:fill="auto"/>
            <w:vAlign w:val="center"/>
          </w:tcPr>
          <w:p w14:paraId="3563B151" w14:textId="77777777" w:rsidR="00307F5F" w:rsidRDefault="00DB215D">
            <w:pPr>
              <w:widowControl w:val="0"/>
              <w:spacing w:after="0" w:line="240" w:lineRule="auto"/>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Ціна</w:t>
            </w:r>
            <w:proofErr w:type="spellEnd"/>
            <w:r>
              <w:rPr>
                <w:rFonts w:ascii="Times New Roman" w:eastAsia="Times New Roman" w:hAnsi="Times New Roman"/>
                <w:color w:val="000000"/>
                <w:sz w:val="28"/>
                <w:szCs w:val="28"/>
              </w:rPr>
              <w:t xml:space="preserve"> природного газу </w:t>
            </w:r>
            <w:r>
              <w:rPr>
                <w:rFonts w:ascii="Times New Roman" w:eastAsia="Times New Roman" w:hAnsi="Times New Roman"/>
                <w:color w:val="000000"/>
                <w:sz w:val="28"/>
                <w:szCs w:val="28"/>
                <w:lang w:val="uk-UA"/>
              </w:rPr>
              <w:t>для категорії «</w:t>
            </w:r>
            <w:r>
              <w:rPr>
                <w:rFonts w:ascii="Times New Roman" w:eastAsia="Times New Roman" w:hAnsi="Times New Roman"/>
                <w:b/>
                <w:color w:val="000000"/>
                <w:sz w:val="24"/>
                <w:szCs w:val="24"/>
                <w:lang w:val="uk-UA"/>
              </w:rPr>
              <w:t xml:space="preserve">інші споживачі», </w:t>
            </w:r>
            <w:r>
              <w:rPr>
                <w:rFonts w:ascii="Times New Roman" w:eastAsia="Times New Roman" w:hAnsi="Times New Roman"/>
                <w:color w:val="000000"/>
                <w:sz w:val="24"/>
                <w:szCs w:val="24"/>
              </w:rPr>
              <w:t xml:space="preserve">(без </w:t>
            </w:r>
            <w:proofErr w:type="spellStart"/>
            <w:r>
              <w:rPr>
                <w:rFonts w:ascii="Times New Roman" w:eastAsia="Times New Roman" w:hAnsi="Times New Roman"/>
                <w:color w:val="000000"/>
                <w:sz w:val="24"/>
                <w:szCs w:val="24"/>
              </w:rPr>
              <w:t>врахування</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послуги</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його</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транспортування</w:t>
            </w:r>
            <w:proofErr w:type="spellEnd"/>
            <w:r>
              <w:rPr>
                <w:rFonts w:ascii="Times New Roman" w:eastAsia="Times New Roman" w:hAnsi="Times New Roman"/>
                <w:color w:val="000000"/>
                <w:sz w:val="24"/>
                <w:szCs w:val="24"/>
              </w:rPr>
              <w:t xml:space="preserve"> та </w:t>
            </w:r>
            <w:proofErr w:type="spellStart"/>
            <w:r>
              <w:rPr>
                <w:rFonts w:ascii="Times New Roman" w:eastAsia="Times New Roman" w:hAnsi="Times New Roman"/>
                <w:color w:val="000000"/>
                <w:sz w:val="24"/>
                <w:szCs w:val="24"/>
              </w:rPr>
              <w:t>розподілу</w:t>
            </w:r>
            <w:proofErr w:type="spellEnd"/>
            <w:r>
              <w:rPr>
                <w:rFonts w:ascii="Times New Roman" w:eastAsia="Times New Roman" w:hAnsi="Times New Roman"/>
                <w:color w:val="000000"/>
                <w:sz w:val="24"/>
                <w:szCs w:val="24"/>
              </w:rPr>
              <w:t>) ,</w:t>
            </w:r>
            <w:proofErr w:type="spellStart"/>
            <w:r>
              <w:rPr>
                <w:rFonts w:ascii="Times New Roman" w:eastAsia="Times New Roman" w:hAnsi="Times New Roman"/>
                <w:color w:val="000000"/>
                <w:sz w:val="24"/>
                <w:szCs w:val="24"/>
              </w:rPr>
              <w:t>грн</w:t>
            </w:r>
            <w:proofErr w:type="spellEnd"/>
            <w:r>
              <w:rPr>
                <w:rFonts w:ascii="Times New Roman" w:eastAsia="Times New Roman" w:hAnsi="Times New Roman"/>
                <w:color w:val="000000"/>
                <w:sz w:val="24"/>
                <w:szCs w:val="24"/>
              </w:rPr>
              <w:t xml:space="preserve">/1000 </w:t>
            </w:r>
            <w:proofErr w:type="spellStart"/>
            <w:r>
              <w:rPr>
                <w:rFonts w:ascii="Times New Roman" w:eastAsia="Times New Roman" w:hAnsi="Times New Roman"/>
                <w:color w:val="000000"/>
                <w:sz w:val="24"/>
                <w:szCs w:val="24"/>
              </w:rPr>
              <w:t>куб.м</w:t>
            </w:r>
            <w:proofErr w:type="spellEnd"/>
          </w:p>
        </w:tc>
        <w:tc>
          <w:tcPr>
            <w:tcW w:w="1951" w:type="dxa"/>
            <w:tcBorders>
              <w:right w:val="single" w:sz="4" w:space="0" w:color="000000"/>
            </w:tcBorders>
            <w:shd w:val="clear" w:color="000000" w:fill="FFFFFF"/>
          </w:tcPr>
          <w:p w14:paraId="4C9631B0"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38FD0ECB"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5F2D6420" w14:textId="77777777" w:rsidR="00307F5F" w:rsidRDefault="00DB215D">
            <w:pPr>
              <w:widowControl w:val="0"/>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17100,23</w:t>
            </w:r>
          </w:p>
        </w:tc>
        <w:tc>
          <w:tcPr>
            <w:tcW w:w="1965" w:type="dxa"/>
            <w:tcBorders>
              <w:right w:val="single" w:sz="4" w:space="0" w:color="000000"/>
            </w:tcBorders>
            <w:shd w:val="clear" w:color="000000" w:fill="FFFFFF"/>
          </w:tcPr>
          <w:p w14:paraId="6B670C6B"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6B545B2E"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p w14:paraId="1E3AECB9" w14:textId="77777777" w:rsidR="00307F5F" w:rsidRDefault="00DB215D">
            <w:pPr>
              <w:widowControl w:val="0"/>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24769,8</w:t>
            </w:r>
          </w:p>
        </w:tc>
        <w:tc>
          <w:tcPr>
            <w:tcW w:w="1754" w:type="dxa"/>
            <w:tcBorders>
              <w:right w:val="single" w:sz="4" w:space="0" w:color="000000"/>
            </w:tcBorders>
            <w:shd w:val="clear" w:color="auto" w:fill="auto"/>
            <w:vAlign w:val="center"/>
          </w:tcPr>
          <w:p w14:paraId="5598362B" w14:textId="77777777" w:rsidR="00307F5F" w:rsidRDefault="00DB215D">
            <w:pPr>
              <w:widowControl w:val="0"/>
              <w:spacing w:after="0" w:line="24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44,8</w:t>
            </w:r>
          </w:p>
        </w:tc>
      </w:tr>
      <w:tr w:rsidR="00307F5F" w14:paraId="4A422D02" w14:textId="77777777">
        <w:trPr>
          <w:trHeight w:val="107"/>
        </w:trPr>
        <w:tc>
          <w:tcPr>
            <w:tcW w:w="3734" w:type="dxa"/>
            <w:tcBorders>
              <w:left w:val="single" w:sz="4" w:space="0" w:color="000000"/>
              <w:bottom w:val="single" w:sz="4" w:space="0" w:color="000000"/>
              <w:right w:val="single" w:sz="4" w:space="0" w:color="000000"/>
            </w:tcBorders>
            <w:shd w:val="clear" w:color="auto" w:fill="auto"/>
            <w:vAlign w:val="center"/>
          </w:tcPr>
          <w:p w14:paraId="2F692599" w14:textId="77777777" w:rsidR="00307F5F" w:rsidRDefault="00307F5F">
            <w:pPr>
              <w:widowControl w:val="0"/>
              <w:spacing w:after="0" w:line="240" w:lineRule="auto"/>
              <w:rPr>
                <w:rFonts w:ascii="Times New Roman" w:eastAsia="Times New Roman" w:hAnsi="Times New Roman"/>
                <w:color w:val="000000"/>
                <w:sz w:val="28"/>
                <w:szCs w:val="28"/>
                <w:lang w:val="uk-UA"/>
              </w:rPr>
            </w:pPr>
          </w:p>
        </w:tc>
        <w:tc>
          <w:tcPr>
            <w:tcW w:w="1951" w:type="dxa"/>
            <w:tcBorders>
              <w:bottom w:val="single" w:sz="4" w:space="0" w:color="000000"/>
              <w:right w:val="single" w:sz="4" w:space="0" w:color="000000"/>
            </w:tcBorders>
            <w:shd w:val="clear" w:color="000000" w:fill="FFFFFF"/>
          </w:tcPr>
          <w:p w14:paraId="6FD42383"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tc>
        <w:tc>
          <w:tcPr>
            <w:tcW w:w="1965" w:type="dxa"/>
            <w:tcBorders>
              <w:bottom w:val="single" w:sz="4" w:space="0" w:color="000000"/>
              <w:right w:val="single" w:sz="4" w:space="0" w:color="000000"/>
            </w:tcBorders>
            <w:shd w:val="clear" w:color="000000" w:fill="FFFFFF"/>
          </w:tcPr>
          <w:p w14:paraId="38635CFD" w14:textId="77777777" w:rsidR="00307F5F" w:rsidRDefault="00307F5F">
            <w:pPr>
              <w:widowControl w:val="0"/>
              <w:spacing w:after="0" w:line="240" w:lineRule="auto"/>
              <w:jc w:val="center"/>
              <w:rPr>
                <w:rFonts w:ascii="Times New Roman" w:eastAsia="Times New Roman" w:hAnsi="Times New Roman" w:cs="Times New Roman"/>
                <w:color w:val="000000"/>
                <w:sz w:val="28"/>
                <w:szCs w:val="28"/>
                <w:lang w:val="uk-UA"/>
              </w:rPr>
            </w:pPr>
          </w:p>
        </w:tc>
        <w:tc>
          <w:tcPr>
            <w:tcW w:w="1754" w:type="dxa"/>
            <w:tcBorders>
              <w:bottom w:val="single" w:sz="4" w:space="0" w:color="000000"/>
              <w:right w:val="single" w:sz="4" w:space="0" w:color="000000"/>
            </w:tcBorders>
            <w:shd w:val="clear" w:color="auto" w:fill="auto"/>
            <w:vAlign w:val="center"/>
          </w:tcPr>
          <w:p w14:paraId="56F32E40" w14:textId="77777777" w:rsidR="00307F5F" w:rsidRDefault="00307F5F">
            <w:pPr>
              <w:widowControl w:val="0"/>
              <w:spacing w:after="0" w:line="240" w:lineRule="auto"/>
              <w:jc w:val="center"/>
              <w:rPr>
                <w:rFonts w:ascii="Times New Roman" w:eastAsia="Times New Roman" w:hAnsi="Times New Roman" w:cs="Times New Roman"/>
                <w:b/>
                <w:color w:val="000000"/>
                <w:sz w:val="28"/>
                <w:szCs w:val="28"/>
                <w:lang w:val="uk-UA"/>
              </w:rPr>
            </w:pPr>
          </w:p>
        </w:tc>
      </w:tr>
    </w:tbl>
    <w:p w14:paraId="67C584CF" w14:textId="77777777" w:rsidR="00307F5F" w:rsidRDefault="00307F5F">
      <w:pPr>
        <w:pStyle w:val="ab"/>
        <w:spacing w:after="0" w:line="259" w:lineRule="auto"/>
        <w:ind w:left="0" w:firstLine="794"/>
        <w:jc w:val="both"/>
        <w:rPr>
          <w:rFonts w:ascii="Times New Roman" w:hAnsi="Times New Roman" w:cs="Times New Roman"/>
          <w:sz w:val="28"/>
          <w:szCs w:val="28"/>
          <w:lang w:val="uk-UA"/>
        </w:rPr>
      </w:pPr>
    </w:p>
    <w:p w14:paraId="1F84E64C" w14:textId="77777777" w:rsidR="00307F5F" w:rsidRDefault="00DB215D">
      <w:pPr>
        <w:pStyle w:val="ab"/>
        <w:spacing w:after="0" w:line="259" w:lineRule="auto"/>
        <w:ind w:left="0" w:firstLine="794"/>
        <w:jc w:val="both"/>
      </w:pPr>
      <w:r>
        <w:rPr>
          <w:rFonts w:ascii="Times New Roman" w:hAnsi="Times New Roman" w:cs="Times New Roman"/>
          <w:sz w:val="28"/>
          <w:szCs w:val="28"/>
          <w:lang w:val="uk-UA"/>
        </w:rPr>
        <w:t xml:space="preserve">Порівняння діючих та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скоригованих тарифів</w:t>
      </w:r>
      <w:r>
        <w:rPr>
          <w:rFonts w:ascii="Times New Roman" w:hAnsi="Times New Roman" w:cs="Times New Roman"/>
          <w:sz w:val="28"/>
          <w:szCs w:val="28"/>
          <w:lang w:val="uk-UA"/>
        </w:rPr>
        <w:br/>
        <w:t>ДКП "</w:t>
      </w:r>
      <w:proofErr w:type="spellStart"/>
      <w:r>
        <w:rPr>
          <w:rFonts w:ascii="Times New Roman" w:hAnsi="Times New Roman" w:cs="Times New Roman"/>
          <w:sz w:val="28"/>
          <w:szCs w:val="28"/>
          <w:lang w:val="uk-UA"/>
        </w:rPr>
        <w:t>Луцьктепло</w:t>
      </w:r>
      <w:proofErr w:type="spellEnd"/>
      <w:r>
        <w:rPr>
          <w:rFonts w:ascii="Times New Roman" w:hAnsi="Times New Roman" w:cs="Times New Roman"/>
          <w:sz w:val="28"/>
          <w:szCs w:val="28"/>
          <w:lang w:val="uk-UA"/>
        </w:rPr>
        <w:t>" на теплову енергії та постачання гарячої води за категоріями споживачів наведено у додатках 1, 2.</w:t>
      </w:r>
    </w:p>
    <w:p w14:paraId="4883B711"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0012EFA1"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717FAEE7"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4A65D5B2" w14:textId="77777777" w:rsidR="00307F5F" w:rsidRDefault="00DB215D">
      <w:pPr>
        <w:pStyle w:val="ab"/>
        <w:spacing w:after="0" w:line="259" w:lineRule="auto"/>
        <w:ind w:left="0"/>
        <w:jc w:val="both"/>
      </w:pPr>
      <w:r>
        <w:rPr>
          <w:rFonts w:ascii="Times New Roman" w:hAnsi="Times New Roman" w:cs="Times New Roman"/>
          <w:sz w:val="28"/>
          <w:szCs w:val="28"/>
          <w:lang w:val="uk-UA"/>
        </w:rPr>
        <w:t>В.о. директора департаменту</w:t>
      </w:r>
    </w:p>
    <w:p w14:paraId="3FC3E601" w14:textId="77777777" w:rsidR="00307F5F" w:rsidRDefault="00DB215D">
      <w:pPr>
        <w:pStyle w:val="ab"/>
        <w:spacing w:after="0" w:line="259" w:lineRule="auto"/>
        <w:ind w:left="0"/>
        <w:jc w:val="both"/>
      </w:pPr>
      <w:r>
        <w:rPr>
          <w:rFonts w:ascii="Times New Roman" w:hAnsi="Times New Roman" w:cs="Times New Roman"/>
          <w:sz w:val="28"/>
          <w:szCs w:val="28"/>
          <w:lang w:val="uk-UA"/>
        </w:rPr>
        <w:t xml:space="preserve">економічної політики                                                                  Юлія ДАЦЮК          </w:t>
      </w:r>
    </w:p>
    <w:p w14:paraId="595B941F" w14:textId="77777777" w:rsidR="00307F5F" w:rsidRDefault="00307F5F">
      <w:pPr>
        <w:pStyle w:val="ab"/>
        <w:spacing w:after="0" w:line="259" w:lineRule="auto"/>
        <w:ind w:left="0"/>
        <w:jc w:val="both"/>
        <w:rPr>
          <w:rFonts w:ascii="Times New Roman" w:hAnsi="Times New Roman" w:cs="Times New Roman"/>
          <w:sz w:val="28"/>
          <w:szCs w:val="28"/>
          <w:lang w:val="uk-UA"/>
        </w:rPr>
      </w:pPr>
    </w:p>
    <w:p w14:paraId="366CC94D" w14:textId="77777777" w:rsidR="00307F5F" w:rsidRPr="00DB215D" w:rsidRDefault="00307F5F" w:rsidP="00DB215D">
      <w:pPr>
        <w:spacing w:after="0" w:line="259" w:lineRule="auto"/>
        <w:jc w:val="both"/>
        <w:rPr>
          <w:rFonts w:ascii="Times New Roman" w:hAnsi="Times New Roman" w:cs="Times New Roman"/>
          <w:sz w:val="28"/>
          <w:szCs w:val="28"/>
          <w:lang w:val="uk-UA"/>
        </w:rPr>
      </w:pPr>
    </w:p>
    <w:p w14:paraId="067370C2" w14:textId="77777777" w:rsidR="00307F5F" w:rsidRDefault="00DB215D">
      <w:pPr>
        <w:pStyle w:val="ab"/>
        <w:spacing w:after="0" w:line="259" w:lineRule="auto"/>
        <w:ind w:left="0" w:firstLine="708"/>
        <w:jc w:val="right"/>
      </w:pPr>
      <w:r>
        <w:rPr>
          <w:rFonts w:ascii="Times New Roman" w:hAnsi="Times New Roman" w:cs="Times New Roman"/>
          <w:sz w:val="28"/>
          <w:szCs w:val="28"/>
          <w:lang w:val="uk-UA"/>
        </w:rPr>
        <w:lastRenderedPageBreak/>
        <w:t>Д</w:t>
      </w:r>
      <w:r>
        <w:rPr>
          <w:rFonts w:ascii="Times New Roman" w:hAnsi="Times New Roman" w:cs="Times New Roman"/>
          <w:sz w:val="28"/>
          <w:szCs w:val="28"/>
          <w:lang w:val="uk-UA"/>
        </w:rPr>
        <w:t>одаток 1</w:t>
      </w:r>
    </w:p>
    <w:p w14:paraId="15B97787" w14:textId="77777777" w:rsidR="00307F5F" w:rsidRDefault="00307F5F">
      <w:pPr>
        <w:pStyle w:val="ab"/>
        <w:spacing w:after="0" w:line="259" w:lineRule="auto"/>
        <w:ind w:left="0" w:firstLine="708"/>
        <w:jc w:val="right"/>
        <w:rPr>
          <w:rFonts w:ascii="Times New Roman" w:hAnsi="Times New Roman" w:cs="Times New Roman"/>
          <w:sz w:val="28"/>
          <w:szCs w:val="28"/>
          <w:lang w:val="uk-UA"/>
        </w:rPr>
      </w:pPr>
    </w:p>
    <w:p w14:paraId="2159FD28" w14:textId="7376D25D" w:rsidR="00307F5F" w:rsidRPr="00DB215D" w:rsidRDefault="00DB215D" w:rsidP="00DB215D">
      <w:pPr>
        <w:pStyle w:val="ab"/>
        <w:spacing w:after="0" w:line="259" w:lineRule="auto"/>
        <w:ind w:left="0" w:firstLine="708"/>
        <w:jc w:val="right"/>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0" distR="0" simplePos="0" relativeHeight="2" behindDoc="0" locked="0" layoutInCell="1" allowOverlap="1" wp14:anchorId="14C66D86" wp14:editId="1B645BB0">
            <wp:simplePos x="0" y="0"/>
            <wp:positionH relativeFrom="column">
              <wp:align>center</wp:align>
            </wp:positionH>
            <wp:positionV relativeFrom="paragraph">
              <wp:posOffset>635</wp:posOffset>
            </wp:positionV>
            <wp:extent cx="5984240" cy="8591550"/>
            <wp:effectExtent l="0" t="0" r="0" b="0"/>
            <wp:wrapSquare wrapText="largest"/>
            <wp:docPr id="1" name="Об'є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єкт1"/>
                    <pic:cNvPicPr>
                      <a:picLocks noChangeAspect="1" noChangeArrowheads="1"/>
                    </pic:cNvPicPr>
                  </pic:nvPicPr>
                  <pic:blipFill>
                    <a:blip r:embed="rId5"/>
                    <a:stretch>
                      <a:fillRect/>
                    </a:stretch>
                  </pic:blipFill>
                  <pic:spPr bwMode="auto">
                    <a:xfrm>
                      <a:off x="0" y="0"/>
                      <a:ext cx="5984240" cy="8591550"/>
                    </a:xfrm>
                    <a:prstGeom prst="rect">
                      <a:avLst/>
                    </a:prstGeom>
                  </pic:spPr>
                </pic:pic>
              </a:graphicData>
            </a:graphic>
          </wp:anchor>
        </w:drawing>
      </w:r>
    </w:p>
    <w:p w14:paraId="1451BDA0" w14:textId="77777777" w:rsidR="00307F5F" w:rsidRDefault="00307F5F">
      <w:pPr>
        <w:pStyle w:val="ab"/>
        <w:spacing w:after="0" w:line="259" w:lineRule="auto"/>
        <w:ind w:left="0" w:firstLine="708"/>
        <w:jc w:val="right"/>
        <w:rPr>
          <w:rFonts w:ascii="Times New Roman" w:hAnsi="Times New Roman" w:cs="Times New Roman"/>
          <w:sz w:val="28"/>
          <w:szCs w:val="28"/>
          <w:lang w:val="uk-UA"/>
        </w:rPr>
      </w:pPr>
    </w:p>
    <w:p w14:paraId="1EE471A7" w14:textId="77777777" w:rsidR="00307F5F" w:rsidRDefault="00DB215D">
      <w:pPr>
        <w:pStyle w:val="ab"/>
        <w:spacing w:after="0" w:line="259" w:lineRule="auto"/>
        <w:ind w:left="0" w:firstLine="708"/>
        <w:jc w:val="right"/>
      </w:pPr>
      <w:r>
        <w:rPr>
          <w:rFonts w:ascii="Times New Roman" w:hAnsi="Times New Roman" w:cs="Times New Roman"/>
          <w:sz w:val="28"/>
          <w:szCs w:val="28"/>
          <w:lang w:val="uk-UA"/>
        </w:rPr>
        <w:t>Додаток 2</w:t>
      </w:r>
    </w:p>
    <w:p w14:paraId="3CE8D4EE" w14:textId="77777777" w:rsidR="00307F5F" w:rsidRDefault="00307F5F">
      <w:pPr>
        <w:pStyle w:val="ab"/>
        <w:spacing w:after="0" w:line="259" w:lineRule="auto"/>
        <w:ind w:left="0" w:firstLine="708"/>
        <w:jc w:val="right"/>
        <w:rPr>
          <w:rFonts w:ascii="Times New Roman" w:hAnsi="Times New Roman" w:cs="Times New Roman"/>
          <w:sz w:val="28"/>
          <w:szCs w:val="28"/>
          <w:lang w:val="uk-UA"/>
        </w:rPr>
      </w:pPr>
    </w:p>
    <w:p w14:paraId="4B3D9051" w14:textId="77777777" w:rsidR="00307F5F" w:rsidRDefault="00307F5F">
      <w:pPr>
        <w:pStyle w:val="ab"/>
        <w:spacing w:after="0" w:line="259" w:lineRule="auto"/>
        <w:ind w:left="0" w:firstLine="708"/>
        <w:jc w:val="right"/>
        <w:rPr>
          <w:rFonts w:ascii="Times New Roman" w:hAnsi="Times New Roman" w:cs="Times New Roman"/>
          <w:sz w:val="28"/>
          <w:szCs w:val="28"/>
          <w:lang w:val="uk-UA"/>
        </w:rPr>
      </w:pPr>
    </w:p>
    <w:p w14:paraId="13D655CF" w14:textId="77777777" w:rsidR="00307F5F" w:rsidRDefault="00DB215D">
      <w:pPr>
        <w:pStyle w:val="ab"/>
        <w:spacing w:after="0" w:line="259" w:lineRule="auto"/>
        <w:ind w:left="0" w:firstLine="708"/>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anchor distT="0" distB="0" distL="0" distR="0" simplePos="0" relativeHeight="3" behindDoc="0" locked="0" layoutInCell="1" allowOverlap="1" wp14:anchorId="741E36A4" wp14:editId="46232B43">
            <wp:simplePos x="0" y="0"/>
            <wp:positionH relativeFrom="column">
              <wp:align>center</wp:align>
            </wp:positionH>
            <wp:positionV relativeFrom="paragraph">
              <wp:posOffset>635</wp:posOffset>
            </wp:positionV>
            <wp:extent cx="6144895" cy="4068445"/>
            <wp:effectExtent l="0" t="0" r="0" b="0"/>
            <wp:wrapSquare wrapText="largest"/>
            <wp:docPr id="2" name="Об'єк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б'єкт3"/>
                    <pic:cNvPicPr>
                      <a:picLocks noChangeAspect="1" noChangeArrowheads="1"/>
                    </pic:cNvPicPr>
                  </pic:nvPicPr>
                  <pic:blipFill>
                    <a:blip r:embed="rId6"/>
                    <a:stretch>
                      <a:fillRect/>
                    </a:stretch>
                  </pic:blipFill>
                  <pic:spPr bwMode="auto">
                    <a:xfrm>
                      <a:off x="0" y="0"/>
                      <a:ext cx="6144895" cy="4068445"/>
                    </a:xfrm>
                    <a:prstGeom prst="rect">
                      <a:avLst/>
                    </a:prstGeom>
                  </pic:spPr>
                </pic:pic>
              </a:graphicData>
            </a:graphic>
          </wp:anchor>
        </w:drawing>
      </w:r>
    </w:p>
    <w:p w14:paraId="20A6ACA2"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353992CD"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7CC1950A"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297FA748"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2141385E"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5E1C455D"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7D9DEB1B"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2E516159"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03105499"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248A2D14"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63F01449" w14:textId="77777777" w:rsidR="00307F5F" w:rsidRDefault="00307F5F">
      <w:pPr>
        <w:pStyle w:val="ab"/>
        <w:spacing w:after="0" w:line="259" w:lineRule="auto"/>
        <w:ind w:left="0" w:firstLine="708"/>
        <w:jc w:val="both"/>
        <w:rPr>
          <w:rFonts w:ascii="Times New Roman" w:hAnsi="Times New Roman" w:cs="Times New Roman"/>
          <w:sz w:val="28"/>
          <w:szCs w:val="28"/>
          <w:lang w:val="uk-UA"/>
        </w:rPr>
      </w:pPr>
    </w:p>
    <w:p w14:paraId="0C4711F5" w14:textId="77777777" w:rsidR="00307F5F" w:rsidRDefault="00307F5F">
      <w:pPr>
        <w:spacing w:after="0" w:line="259" w:lineRule="auto"/>
        <w:jc w:val="both"/>
        <w:rPr>
          <w:rFonts w:ascii="Times New Roman" w:hAnsi="Times New Roman" w:cs="Times New Roman"/>
          <w:sz w:val="28"/>
          <w:szCs w:val="28"/>
          <w:lang w:val="uk-UA"/>
        </w:rPr>
      </w:pPr>
    </w:p>
    <w:p w14:paraId="1D88AAE3" w14:textId="77777777" w:rsidR="00307F5F" w:rsidRDefault="00307F5F">
      <w:pPr>
        <w:pStyle w:val="ab"/>
        <w:spacing w:after="0" w:line="259" w:lineRule="auto"/>
        <w:ind w:left="0" w:firstLine="1068"/>
        <w:jc w:val="both"/>
        <w:rPr>
          <w:rFonts w:ascii="Times New Roman" w:hAnsi="Times New Roman" w:cs="Times New Roman"/>
          <w:sz w:val="28"/>
          <w:szCs w:val="28"/>
          <w:lang w:val="uk-UA"/>
        </w:rPr>
      </w:pPr>
    </w:p>
    <w:p w14:paraId="1F1099DD" w14:textId="77777777" w:rsidR="00307F5F" w:rsidRDefault="00307F5F">
      <w:pPr>
        <w:pStyle w:val="ab"/>
        <w:spacing w:after="0" w:line="259" w:lineRule="auto"/>
        <w:ind w:left="0" w:firstLine="1068"/>
        <w:jc w:val="both"/>
        <w:rPr>
          <w:rFonts w:ascii="Times New Roman" w:hAnsi="Times New Roman" w:cs="Times New Roman"/>
          <w:sz w:val="28"/>
          <w:szCs w:val="28"/>
          <w:lang w:val="uk-UA"/>
        </w:rPr>
      </w:pPr>
    </w:p>
    <w:p w14:paraId="5AEB6D21" w14:textId="77777777" w:rsidR="00307F5F" w:rsidRDefault="00307F5F">
      <w:pPr>
        <w:pStyle w:val="ab"/>
        <w:spacing w:after="0" w:line="259" w:lineRule="auto"/>
        <w:ind w:left="0"/>
        <w:jc w:val="both"/>
      </w:pPr>
    </w:p>
    <w:sectPr w:rsidR="00307F5F">
      <w:pgSz w:w="11906" w:h="16838"/>
      <w:pgMar w:top="568" w:right="850" w:bottom="147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5F"/>
    <w:rsid w:val="00307F5F"/>
    <w:rsid w:val="00DB215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4E6A"/>
  <w15:docId w15:val="{6D882CAC-1F3E-4B08-BB3B-19F87A43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E8C"/>
    <w:pPr>
      <w:suppressAutoHyphens/>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97186D"/>
  </w:style>
  <w:style w:type="character" w:customStyle="1" w:styleId="a3">
    <w:name w:val="Текст выноски Знак"/>
    <w:basedOn w:val="a0"/>
    <w:uiPriority w:val="99"/>
    <w:semiHidden/>
    <w:qFormat/>
    <w:rsid w:val="00894CD9"/>
    <w:rPr>
      <w:rFonts w:ascii="Segoe UI" w:hAnsi="Segoe UI" w:cs="Segoe UI"/>
      <w:sz w:val="18"/>
      <w:szCs w:val="18"/>
    </w:rPr>
  </w:style>
  <w:style w:type="character" w:customStyle="1" w:styleId="a4">
    <w:name w:val="Верхний колонтитул Знак"/>
    <w:basedOn w:val="a0"/>
    <w:uiPriority w:val="99"/>
    <w:qFormat/>
    <w:rsid w:val="00AE51BE"/>
  </w:style>
  <w:style w:type="character" w:customStyle="1" w:styleId="a5">
    <w:name w:val="Нижний колонтитул Знак"/>
    <w:basedOn w:val="a0"/>
    <w:uiPriority w:val="99"/>
    <w:qFormat/>
    <w:rsid w:val="00AE51BE"/>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6D7E88"/>
    <w:pPr>
      <w:ind w:left="720"/>
      <w:contextualSpacing/>
    </w:pPr>
  </w:style>
  <w:style w:type="paragraph" w:styleId="ac">
    <w:name w:val="Balloon Text"/>
    <w:basedOn w:val="a"/>
    <w:uiPriority w:val="99"/>
    <w:semiHidden/>
    <w:unhideWhenUsed/>
    <w:qFormat/>
    <w:rsid w:val="00894CD9"/>
    <w:pPr>
      <w:spacing w:after="0" w:line="240" w:lineRule="auto"/>
    </w:pPr>
    <w:rPr>
      <w:rFonts w:ascii="Segoe UI" w:hAnsi="Segoe UI" w:cs="Segoe UI"/>
      <w:sz w:val="18"/>
      <w:szCs w:val="18"/>
    </w:rPr>
  </w:style>
  <w:style w:type="paragraph" w:customStyle="1" w:styleId="ad">
    <w:name w:val="Верхній і нижній колонтитули"/>
    <w:basedOn w:val="a"/>
    <w:qFormat/>
  </w:style>
  <w:style w:type="paragraph" w:styleId="ae">
    <w:name w:val="header"/>
    <w:basedOn w:val="a"/>
    <w:uiPriority w:val="99"/>
    <w:unhideWhenUsed/>
    <w:rsid w:val="00AE51BE"/>
    <w:pPr>
      <w:tabs>
        <w:tab w:val="center" w:pos="4844"/>
        <w:tab w:val="right" w:pos="9689"/>
      </w:tabs>
      <w:spacing w:after="0" w:line="240" w:lineRule="auto"/>
    </w:pPr>
  </w:style>
  <w:style w:type="paragraph" w:styleId="af">
    <w:name w:val="footer"/>
    <w:basedOn w:val="a"/>
    <w:uiPriority w:val="99"/>
    <w:unhideWhenUsed/>
    <w:rsid w:val="00AE51BE"/>
    <w:pPr>
      <w:tabs>
        <w:tab w:val="center" w:pos="4844"/>
        <w:tab w:val="right" w:pos="9689"/>
      </w:tabs>
      <w:spacing w:after="0" w:line="240" w:lineRule="auto"/>
    </w:pPr>
  </w:style>
  <w:style w:type="paragraph" w:styleId="af0">
    <w:name w:val="Normal (Web)"/>
    <w:basedOn w:val="a"/>
    <w:qFormat/>
    <w:pPr>
      <w:spacing w:before="280" w:after="280"/>
    </w:pPr>
    <w:rPr>
      <w:sz w:val="24"/>
    </w:rPr>
  </w:style>
  <w:style w:type="table" w:styleId="af1">
    <w:name w:val="Table Grid"/>
    <w:basedOn w:val="a1"/>
    <w:uiPriority w:val="59"/>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E579-B98E-4F02-9F38-A02CB48E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4</Pages>
  <Words>2728</Words>
  <Characters>1555</Characters>
  <Application>Microsoft Office Word</Application>
  <DocSecurity>0</DocSecurity>
  <Lines>12</Lines>
  <Paragraphs>8</Paragraphs>
  <ScaleCrop>false</ScaleCrop>
  <Company>Microsoft</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litvinchuk</cp:lastModifiedBy>
  <cp:revision>52</cp:revision>
  <cp:lastPrinted>2021-01-04T14:02:00Z</cp:lastPrinted>
  <dcterms:created xsi:type="dcterms:W3CDTF">2018-01-12T22:58:00Z</dcterms:created>
  <dcterms:modified xsi:type="dcterms:W3CDTF">2021-10-28T12:11:00Z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