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663" w:rsidRDefault="00DB3663">
      <w:pPr>
        <w:tabs>
          <w:tab w:val="left" w:pos="5730"/>
        </w:tabs>
        <w:jc w:val="center"/>
        <w:rPr>
          <w:lang w:val="uk-UA"/>
        </w:rPr>
      </w:pPr>
      <w:r>
        <w:rPr>
          <w:szCs w:val="28"/>
          <w:lang w:val="uk-UA"/>
        </w:rPr>
        <w:t>2</w:t>
      </w:r>
    </w:p>
    <w:p w:rsidR="00DB3663" w:rsidRDefault="00DB3663">
      <w:pPr>
        <w:jc w:val="center"/>
        <w:rPr>
          <w:lang w:val="uk-UA"/>
        </w:rPr>
      </w:pPr>
    </w:p>
    <w:p w:rsidR="00DB3663" w:rsidRDefault="00DB3663">
      <w:pPr>
        <w:jc w:val="center"/>
        <w:rPr>
          <w:lang w:val="uk-UA"/>
        </w:rPr>
      </w:pPr>
      <w:r>
        <w:rPr>
          <w:szCs w:val="28"/>
          <w:lang w:val="uk-UA"/>
        </w:rPr>
        <w:t xml:space="preserve">                                                             Додаток 1</w:t>
      </w:r>
    </w:p>
    <w:p w:rsidR="00DB3663" w:rsidRDefault="00DB3663">
      <w:pPr>
        <w:rPr>
          <w:lang w:val="uk-UA"/>
        </w:rPr>
      </w:pP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  <w:t xml:space="preserve">                           до рішення міської ради</w:t>
      </w:r>
    </w:p>
    <w:p w:rsidR="00DB3663" w:rsidRDefault="00DB3663">
      <w:pPr>
        <w:rPr>
          <w:lang w:val="uk-UA"/>
        </w:rPr>
      </w:pP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  <w:t xml:space="preserve">                 ___________№________</w:t>
      </w:r>
    </w:p>
    <w:p w:rsidR="00DB3663" w:rsidRDefault="00DB3663">
      <w:pPr>
        <w:jc w:val="center"/>
        <w:rPr>
          <w:szCs w:val="28"/>
          <w:lang w:val="uk-UA"/>
        </w:rPr>
      </w:pPr>
    </w:p>
    <w:p w:rsidR="00DB3663" w:rsidRDefault="00DB3663">
      <w:pPr>
        <w:jc w:val="center"/>
        <w:rPr>
          <w:b/>
          <w:bCs/>
          <w:lang w:val="uk-UA"/>
        </w:rPr>
      </w:pPr>
      <w:r>
        <w:rPr>
          <w:b/>
          <w:bCs/>
          <w:color w:val="000000"/>
          <w:szCs w:val="28"/>
          <w:lang w:val="uk-UA"/>
        </w:rPr>
        <w:t xml:space="preserve">ПОРЯДОК </w:t>
      </w:r>
    </w:p>
    <w:p w:rsidR="00DB3663" w:rsidRPr="00C938A9" w:rsidRDefault="00DB3663">
      <w:pPr>
        <w:jc w:val="center"/>
        <w:rPr>
          <w:lang w:val="uk-UA"/>
        </w:rPr>
      </w:pPr>
      <w:r>
        <w:rPr>
          <w:b/>
          <w:bCs/>
          <w:color w:val="000000"/>
          <w:szCs w:val="28"/>
          <w:lang w:val="uk-UA"/>
        </w:rPr>
        <w:t>здійснення</w:t>
      </w:r>
      <w:r>
        <w:rPr>
          <w:b/>
          <w:bCs/>
          <w:szCs w:val="28"/>
          <w:lang w:val="uk-UA"/>
        </w:rPr>
        <w:t xml:space="preserve"> державної регуляторної політики </w:t>
      </w:r>
    </w:p>
    <w:p w:rsidR="00DB3663" w:rsidRPr="00C938A9" w:rsidRDefault="00DB3663">
      <w:pPr>
        <w:jc w:val="center"/>
        <w:rPr>
          <w:b/>
          <w:bCs/>
          <w:lang w:val="uk-UA"/>
        </w:rPr>
      </w:pPr>
      <w:r>
        <w:rPr>
          <w:b/>
          <w:bCs/>
          <w:szCs w:val="28"/>
          <w:lang w:val="uk-UA"/>
        </w:rPr>
        <w:t xml:space="preserve">у сфері господарської діяльності в Луцькій міській раді та </w:t>
      </w:r>
    </w:p>
    <w:p w:rsidR="00DB3663" w:rsidRPr="00C938A9" w:rsidRDefault="00DB3663">
      <w:pPr>
        <w:jc w:val="center"/>
        <w:rPr>
          <w:b/>
          <w:bCs/>
          <w:lang w:val="uk-UA"/>
        </w:rPr>
      </w:pPr>
      <w:r>
        <w:rPr>
          <w:b/>
          <w:bCs/>
          <w:szCs w:val="28"/>
          <w:lang w:val="uk-UA"/>
        </w:rPr>
        <w:t xml:space="preserve">її виконавчих органах </w:t>
      </w:r>
    </w:p>
    <w:p w:rsidR="00DB3663" w:rsidRDefault="00DB3663">
      <w:pPr>
        <w:jc w:val="center"/>
        <w:rPr>
          <w:color w:val="C9211E"/>
          <w:szCs w:val="28"/>
          <w:lang w:val="uk-UA"/>
        </w:rPr>
      </w:pPr>
    </w:p>
    <w:p w:rsidR="00DB3663" w:rsidRPr="00C938A9" w:rsidRDefault="00DB3663">
      <w:pPr>
        <w:jc w:val="center"/>
        <w:rPr>
          <w:lang w:val="uk-UA"/>
        </w:rPr>
      </w:pPr>
      <w:r>
        <w:rPr>
          <w:b/>
          <w:bCs/>
          <w:color w:val="000000"/>
          <w:szCs w:val="28"/>
          <w:lang w:val="uk-UA"/>
        </w:rPr>
        <w:t>1. Загальні положення</w:t>
      </w:r>
    </w:p>
    <w:p w:rsidR="00DB3663" w:rsidRDefault="00DB3663">
      <w:pPr>
        <w:jc w:val="center"/>
        <w:rPr>
          <w:b/>
          <w:bCs/>
          <w:color w:val="000000"/>
          <w:sz w:val="16"/>
          <w:szCs w:val="16"/>
          <w:lang w:val="uk-UA"/>
        </w:rPr>
      </w:pPr>
    </w:p>
    <w:p w:rsidR="00DB3663" w:rsidRPr="00C938A9" w:rsidRDefault="00DB3663">
      <w:pPr>
        <w:ind w:firstLine="656"/>
        <w:jc w:val="both"/>
        <w:rPr>
          <w:lang w:val="uk-UA"/>
        </w:rPr>
      </w:pPr>
      <w:r>
        <w:rPr>
          <w:color w:val="000000"/>
          <w:szCs w:val="28"/>
          <w:lang w:val="uk-UA"/>
        </w:rPr>
        <w:t>1.1. Порядок здійснення державної</w:t>
      </w:r>
      <w:r>
        <w:rPr>
          <w:szCs w:val="28"/>
          <w:lang w:val="uk-UA"/>
        </w:rPr>
        <w:t xml:space="preserve"> регуляторної політики у сфері господарської діяльності </w:t>
      </w:r>
      <w:r>
        <w:rPr>
          <w:color w:val="000000"/>
          <w:szCs w:val="28"/>
          <w:lang w:val="uk-UA"/>
        </w:rPr>
        <w:t>(далі – Порядок)</w:t>
      </w:r>
      <w:r>
        <w:rPr>
          <w:color w:val="000000"/>
          <w:lang w:val="uk-UA"/>
        </w:rPr>
        <w:t xml:space="preserve"> розроблено відповідно до Законів України «Про місцеве самоврядування в Україні», «Про засади державної регуляторної політики у сфері господарської діяльності», з метою встановлення порядку дій, пов’язаних з реалізацією державної регуляторної політики у Луцькій міській раді та її виконавчих органах.</w:t>
      </w:r>
    </w:p>
    <w:p w:rsidR="00DB3663" w:rsidRPr="00C938A9" w:rsidRDefault="00DB3663">
      <w:pPr>
        <w:ind w:firstLine="656"/>
        <w:jc w:val="both"/>
        <w:rPr>
          <w:lang w:val="uk-UA"/>
        </w:rPr>
      </w:pPr>
      <w:r>
        <w:rPr>
          <w:color w:val="000000"/>
          <w:lang w:val="uk-UA"/>
        </w:rPr>
        <w:t>1.2. Організаційне забезпечення здійснення державної регуляторної політики та контроль за дотриманням розробниками регуляторних актів вимог Закону України «Про засади державної регуляторної політики у сфері господарської діяльності» покладається на департамент економічної політики міської ради.</w:t>
      </w:r>
    </w:p>
    <w:p w:rsidR="00DB3663" w:rsidRPr="00C938A9" w:rsidRDefault="00DB3663">
      <w:pPr>
        <w:ind w:firstLine="656"/>
        <w:jc w:val="both"/>
        <w:rPr>
          <w:lang w:val="uk-UA"/>
        </w:rPr>
      </w:pPr>
      <w:r>
        <w:rPr>
          <w:color w:val="000000"/>
          <w:lang w:val="uk-UA"/>
        </w:rPr>
        <w:t xml:space="preserve">З метою запровадження та дотримання демократичних принципів у сфері правового регулювання господарських та адміністративних відносин між Луцькою міською радою та суб'єктами господарювання створюється постійна комісія </w:t>
      </w:r>
      <w:r>
        <w:rPr>
          <w:color w:val="000000"/>
          <w:szCs w:val="28"/>
          <w:lang w:val="uk-UA"/>
        </w:rPr>
        <w:t>з питань реалізації державної регуляторної політики у виконавчих органах міської ради.</w:t>
      </w:r>
    </w:p>
    <w:p w:rsidR="00DB3663" w:rsidRDefault="00DB3663">
      <w:pPr>
        <w:ind w:firstLine="656"/>
        <w:jc w:val="both"/>
      </w:pPr>
      <w:r>
        <w:rPr>
          <w:szCs w:val="28"/>
          <w:lang w:val="uk-UA"/>
        </w:rPr>
        <w:t>1.3. </w:t>
      </w:r>
      <w:r>
        <w:rPr>
          <w:color w:val="000000"/>
          <w:lang w:val="uk-UA"/>
        </w:rPr>
        <w:t>Визначення понять:</w:t>
      </w:r>
    </w:p>
    <w:p w:rsidR="00DB3663" w:rsidRDefault="00DB3663">
      <w:pPr>
        <w:ind w:firstLine="656"/>
        <w:jc w:val="both"/>
        <w:rPr>
          <w:color w:val="000000"/>
          <w:szCs w:val="28"/>
        </w:rPr>
      </w:pPr>
      <w:r>
        <w:rPr>
          <w:b/>
          <w:bCs/>
          <w:color w:val="000000"/>
          <w:szCs w:val="28"/>
          <w:lang w:val="uk-UA"/>
        </w:rPr>
        <w:t xml:space="preserve">регуляторний орган </w:t>
      </w:r>
      <w:r>
        <w:rPr>
          <w:color w:val="000000"/>
          <w:szCs w:val="28"/>
          <w:lang w:val="uk-UA"/>
        </w:rPr>
        <w:t>– Верховна Рада України, Президент України, Кабінет Міністрів України, Національний банк України, Національна рада України з питань телебачення і радіомовлення, інший державний орган, центральний орган виконавчої влади, Верховна Рада Автономної Республіки Крим, Рада міністрів Автономної Республіки Крим, місцевий орган виконавчої влади, орган місцевого самоврядування, а також посадова особа будь-якого із зазначених органів, якщо відповідно до законодавства ця особа має повноваження одноособово приймати регуляторні акти;</w:t>
      </w:r>
    </w:p>
    <w:p w:rsidR="00DB3663" w:rsidRDefault="00DB3663">
      <w:pPr>
        <w:ind w:firstLine="656"/>
        <w:jc w:val="both"/>
      </w:pPr>
      <w:r>
        <w:rPr>
          <w:b/>
          <w:bCs/>
          <w:color w:val="000000"/>
          <w:lang w:val="uk-UA"/>
        </w:rPr>
        <w:t>регуляторна діяльність</w:t>
      </w:r>
      <w:r>
        <w:rPr>
          <w:color w:val="000000"/>
          <w:lang w:val="uk-UA"/>
        </w:rPr>
        <w:t> </w:t>
      </w:r>
      <w:bookmarkStart w:id="0" w:name="__DdeLink__266_2815223827"/>
      <w:r>
        <w:rPr>
          <w:color w:val="000000"/>
          <w:lang w:val="uk-UA"/>
        </w:rPr>
        <w:t>– </w:t>
      </w:r>
      <w:bookmarkEnd w:id="0"/>
      <w:r>
        <w:rPr>
          <w:color w:val="000000"/>
          <w:lang w:val="uk-UA"/>
        </w:rPr>
        <w:t>діяльність, спрямована на підготовку, прийняття, відстеження результативності та перегляду регуляторних актів, яка здійснюється регуляторним органом;</w:t>
      </w:r>
    </w:p>
    <w:p w:rsidR="00DB3663" w:rsidRDefault="00DB3663">
      <w:pPr>
        <w:ind w:firstLine="567"/>
        <w:jc w:val="both"/>
      </w:pPr>
      <w:r>
        <w:rPr>
          <w:b/>
          <w:bCs/>
          <w:iCs/>
          <w:color w:val="000000"/>
          <w:lang w:val="uk-UA"/>
        </w:rPr>
        <w:t>розробник проєкту регуляторного акта</w:t>
      </w:r>
      <w:r>
        <w:rPr>
          <w:bCs/>
          <w:iCs/>
          <w:color w:val="000000"/>
          <w:lang w:val="uk-UA"/>
        </w:rPr>
        <w:t> – виконавчий орган Луцької міської ради, установа, організація, особа чи група осіб, яких уповноважено розробляти або організовувати, спрямовувати та координувати діяльність з розроблення проєкту регуляторного акта;</w:t>
      </w:r>
    </w:p>
    <w:p w:rsidR="00DB3663" w:rsidRDefault="00DB3663">
      <w:pPr>
        <w:ind w:firstLine="567"/>
        <w:jc w:val="center"/>
      </w:pPr>
      <w:r>
        <w:rPr>
          <w:color w:val="000000"/>
          <w:lang w:val="uk-UA"/>
        </w:rPr>
        <w:t>3</w:t>
      </w:r>
    </w:p>
    <w:p w:rsidR="00DB3663" w:rsidRDefault="00DB3663">
      <w:pPr>
        <w:ind w:firstLine="567"/>
        <w:jc w:val="center"/>
        <w:rPr>
          <w:color w:val="000000"/>
          <w:lang w:val="uk-UA"/>
        </w:rPr>
      </w:pPr>
    </w:p>
    <w:p w:rsidR="00DB3663" w:rsidRDefault="00DB3663">
      <w:pPr>
        <w:ind w:firstLine="567"/>
        <w:jc w:val="both"/>
        <w:rPr>
          <w:lang w:val="uk-UA"/>
        </w:rPr>
      </w:pPr>
      <w:r>
        <w:rPr>
          <w:b/>
          <w:bCs/>
          <w:color w:val="000000"/>
          <w:lang w:val="uk-UA"/>
        </w:rPr>
        <w:t>регуляторний акт</w:t>
      </w:r>
      <w:r>
        <w:rPr>
          <w:color w:val="000000"/>
          <w:lang w:val="uk-UA"/>
        </w:rPr>
        <w:t xml:space="preserve"> – прийнятий регуляторним органом офіційний письмовий документ, який встановлює, змінює чи скасовує норми права, застосовується неодноразово та щодо невизначеного кола осіб і який або окремі положення якого спрямовані на правове регулювання господарських відносин, а також адміністративних відносин між регуляторним органом та </w:t>
      </w:r>
    </w:p>
    <w:p w:rsidR="00DB3663" w:rsidRDefault="00DB3663">
      <w:pPr>
        <w:jc w:val="both"/>
      </w:pPr>
      <w:r>
        <w:rPr>
          <w:color w:val="000000"/>
          <w:lang w:val="uk-UA"/>
        </w:rPr>
        <w:t>суб’єктами господарювання, незалежно від того, чи вважається цей документ відповідно до закону, що регулює відносини у певній сфері, нормативно-правовим актом;</w:t>
      </w:r>
    </w:p>
    <w:p w:rsidR="00DB3663" w:rsidRDefault="00DB3663">
      <w:pPr>
        <w:ind w:firstLine="567"/>
        <w:jc w:val="both"/>
        <w:rPr>
          <w:lang w:val="uk-UA"/>
        </w:rPr>
      </w:pPr>
      <w:r>
        <w:rPr>
          <w:b/>
          <w:bCs/>
          <w:color w:val="000000"/>
          <w:lang w:val="uk-UA"/>
        </w:rPr>
        <w:t>аналіз регуляторного впливу</w:t>
      </w:r>
      <w:r>
        <w:rPr>
          <w:color w:val="000000"/>
          <w:lang w:val="uk-UA"/>
        </w:rPr>
        <w:t> – документ, який містить обґрунтування необхідності державного регулювання шляхом прийняття регуляторного акта, аналіз впливу, який справлятиме регуляторний акт на ринкове середовище, забезпечення прав та інтересів суб’єктів господарювання, громадян, держави та територіальної громади, а також  відповідності проєкту регуляторного акта принципам державної регуляторної політики;</w:t>
      </w:r>
    </w:p>
    <w:p w:rsidR="00DB3663" w:rsidRDefault="00DB3663">
      <w:pPr>
        <w:ind w:firstLine="567"/>
        <w:jc w:val="both"/>
        <w:rPr>
          <w:lang w:val="uk-UA"/>
        </w:rPr>
      </w:pPr>
      <w:r>
        <w:rPr>
          <w:b/>
          <w:bCs/>
          <w:color w:val="000000"/>
          <w:szCs w:val="28"/>
          <w:lang w:val="uk-UA"/>
        </w:rPr>
        <w:t>ві</w:t>
      </w:r>
      <w:r>
        <w:rPr>
          <w:b/>
          <w:bCs/>
          <w:color w:val="000000"/>
          <w:lang w:val="uk-UA"/>
        </w:rPr>
        <w:t>дстеження результативності регуляторного акта </w:t>
      </w:r>
      <w:r>
        <w:rPr>
          <w:color w:val="000000"/>
          <w:lang w:val="uk-UA"/>
        </w:rPr>
        <w:t>– заходи, спрямовані на оцінку стану впровадження регуляторного акта та досягнення цим актом цілей, задекларованих при його прийнятті.</w:t>
      </w:r>
    </w:p>
    <w:p w:rsidR="00DB3663" w:rsidRDefault="00DB3663">
      <w:pPr>
        <w:ind w:firstLine="567"/>
        <w:jc w:val="both"/>
        <w:rPr>
          <w:lang w:val="uk-UA"/>
        </w:rPr>
      </w:pPr>
      <w:r>
        <w:rPr>
          <w:b/>
          <w:bCs/>
          <w:color w:val="000000"/>
          <w:lang w:val="uk-UA"/>
        </w:rPr>
        <w:t>перегляд регуляторного акта</w:t>
      </w:r>
      <w:r>
        <w:rPr>
          <w:color w:val="000000"/>
          <w:lang w:val="uk-UA"/>
        </w:rPr>
        <w:t> – заходи, спрямовані на приведення регуляторним органом прийнятого ним регуляторного акта у відповідність принципам державної регуляторної політики.</w:t>
      </w:r>
    </w:p>
    <w:p w:rsidR="00DB3663" w:rsidRDefault="00DB3663">
      <w:pPr>
        <w:ind w:firstLine="567"/>
        <w:jc w:val="both"/>
        <w:rPr>
          <w:color w:val="000000"/>
        </w:rPr>
      </w:pPr>
    </w:p>
    <w:p w:rsidR="00DB3663" w:rsidRDefault="00DB3663">
      <w:pPr>
        <w:ind w:firstLine="656"/>
        <w:jc w:val="center"/>
        <w:rPr>
          <w:lang w:val="uk-UA"/>
        </w:rPr>
      </w:pPr>
      <w:r>
        <w:rPr>
          <w:color w:val="000000"/>
          <w:szCs w:val="28"/>
          <w:lang w:val="uk-UA"/>
        </w:rPr>
        <w:t> </w:t>
      </w:r>
      <w:r>
        <w:rPr>
          <w:b/>
          <w:bCs/>
          <w:color w:val="000000"/>
          <w:szCs w:val="28"/>
          <w:lang w:val="uk-UA"/>
        </w:rPr>
        <w:t>2. Планування регуляторної діяльності</w:t>
      </w:r>
    </w:p>
    <w:p w:rsidR="00DB3663" w:rsidRDefault="00DB3663">
      <w:pPr>
        <w:ind w:firstLine="656"/>
        <w:jc w:val="center"/>
        <w:rPr>
          <w:color w:val="000000"/>
          <w:sz w:val="16"/>
          <w:szCs w:val="16"/>
          <w:lang w:val="uk-UA"/>
        </w:rPr>
      </w:pPr>
    </w:p>
    <w:p w:rsidR="00DB3663" w:rsidRDefault="00DB3663">
      <w:pPr>
        <w:ind w:firstLine="567"/>
        <w:jc w:val="both"/>
        <w:rPr>
          <w:lang w:val="uk-UA"/>
        </w:rPr>
      </w:pPr>
      <w:r>
        <w:rPr>
          <w:color w:val="000000"/>
          <w:lang w:val="uk-UA"/>
        </w:rPr>
        <w:t>2.1. План діяльності з підготовки проєктів регуляторних актів на наступний рік затверджується до 15 грудня поточного року.</w:t>
      </w:r>
    </w:p>
    <w:p w:rsidR="00DB3663" w:rsidRDefault="00DB3663">
      <w:pPr>
        <w:ind w:firstLine="567"/>
        <w:jc w:val="both"/>
        <w:rPr>
          <w:lang w:val="uk-UA"/>
        </w:rPr>
      </w:pPr>
      <w:r>
        <w:rPr>
          <w:color w:val="000000"/>
          <w:lang w:val="uk-UA"/>
        </w:rPr>
        <w:t xml:space="preserve">2.2. Проєкт рішення про план діяльності з підготовки проєктів регуляторних актів готує та подає на затвердження департамент економічної політики згідно пропозицій розробників регуляторних актів. </w:t>
      </w:r>
    </w:p>
    <w:p w:rsidR="00DB3663" w:rsidRDefault="00DB3663">
      <w:pPr>
        <w:ind w:firstLine="567"/>
        <w:jc w:val="both"/>
        <w:rPr>
          <w:lang w:val="uk-UA"/>
        </w:rPr>
      </w:pPr>
      <w:r>
        <w:rPr>
          <w:color w:val="000000"/>
          <w:lang w:val="uk-UA"/>
        </w:rPr>
        <w:t>2.3. Затверджений план діяльності з підготовки проєктів регуляторних актів оприлюднюється в офіційних друкованих засобах масової інформації та/або шляхом розміщення на офіційній сторінці Луцької міської ради протягом 10 днів після затвердження.</w:t>
      </w:r>
    </w:p>
    <w:p w:rsidR="00DB3663" w:rsidRDefault="00DB3663">
      <w:pPr>
        <w:ind w:firstLine="567"/>
        <w:jc w:val="both"/>
        <w:rPr>
          <w:lang w:val="uk-UA"/>
        </w:rPr>
      </w:pPr>
      <w:r>
        <w:rPr>
          <w:color w:val="000000"/>
          <w:lang w:val="uk-UA"/>
        </w:rPr>
        <w:t>2.4. Зміни до плану діяльності з підготовки проєктів регуляторних актів затверджуються у тому самому порядку, що і сам план.</w:t>
      </w:r>
    </w:p>
    <w:p w:rsidR="00DB3663" w:rsidRDefault="00DB3663">
      <w:pPr>
        <w:ind w:firstLine="567"/>
        <w:jc w:val="both"/>
        <w:rPr>
          <w:color w:val="000000"/>
          <w:lang w:val="uk-UA"/>
        </w:rPr>
      </w:pPr>
    </w:p>
    <w:p w:rsidR="00DB3663" w:rsidRDefault="00DB3663">
      <w:pPr>
        <w:jc w:val="center"/>
        <w:rPr>
          <w:b/>
          <w:bCs/>
          <w:lang w:val="uk-UA"/>
        </w:rPr>
      </w:pPr>
      <w:r>
        <w:rPr>
          <w:b/>
          <w:bCs/>
          <w:color w:val="000000"/>
          <w:lang w:val="uk-UA"/>
        </w:rPr>
        <w:t>3. Проходження регуляторної процедури</w:t>
      </w:r>
    </w:p>
    <w:p w:rsidR="00DB3663" w:rsidRDefault="00DB3663">
      <w:pPr>
        <w:jc w:val="center"/>
        <w:rPr>
          <w:color w:val="000000"/>
          <w:sz w:val="14"/>
          <w:szCs w:val="14"/>
          <w:lang w:val="uk-UA"/>
        </w:rPr>
      </w:pPr>
    </w:p>
    <w:p w:rsidR="00DB3663" w:rsidRDefault="00DB3663">
      <w:pPr>
        <w:ind w:firstLine="567"/>
        <w:jc w:val="both"/>
        <w:rPr>
          <w:lang w:val="uk-UA"/>
        </w:rPr>
      </w:pPr>
      <w:r>
        <w:rPr>
          <w:color w:val="000000"/>
          <w:lang w:val="uk-UA"/>
        </w:rPr>
        <w:t>3.1. Стосовно кожного проєкту регуляторного акта його розробником готується аналіз регуляторного впливу. Методика підготовки аналізу регуляторного впливу є обов’язковою для застосування розробниками проєктів регуляторних актів.</w:t>
      </w:r>
    </w:p>
    <w:p w:rsidR="00DB3663" w:rsidRDefault="00DB3663">
      <w:pPr>
        <w:ind w:firstLine="567"/>
        <w:jc w:val="both"/>
        <w:rPr>
          <w:lang w:val="uk-UA"/>
        </w:rPr>
      </w:pPr>
    </w:p>
    <w:p w:rsidR="00DB3663" w:rsidRDefault="00DB3663">
      <w:pPr>
        <w:ind w:firstLine="567"/>
        <w:jc w:val="both"/>
        <w:rPr>
          <w:lang w:val="uk-UA"/>
        </w:rPr>
      </w:pPr>
    </w:p>
    <w:p w:rsidR="00DB3663" w:rsidRDefault="00DB3663">
      <w:pPr>
        <w:ind w:firstLine="567"/>
        <w:jc w:val="both"/>
        <w:rPr>
          <w:lang w:val="uk-UA"/>
        </w:rPr>
      </w:pPr>
    </w:p>
    <w:p w:rsidR="00DB3663" w:rsidRDefault="00DB3663">
      <w:pPr>
        <w:ind w:firstLine="567"/>
        <w:jc w:val="center"/>
        <w:rPr>
          <w:lang w:val="uk-UA"/>
        </w:rPr>
      </w:pPr>
      <w:r>
        <w:rPr>
          <w:color w:val="000000"/>
          <w:lang w:val="uk-UA"/>
        </w:rPr>
        <w:t>4</w:t>
      </w:r>
    </w:p>
    <w:p w:rsidR="00DB3663" w:rsidRDefault="00DB3663">
      <w:pPr>
        <w:ind w:firstLine="567"/>
        <w:jc w:val="both"/>
        <w:rPr>
          <w:lang w:val="uk-UA"/>
        </w:rPr>
      </w:pPr>
    </w:p>
    <w:p w:rsidR="00DB3663" w:rsidRDefault="00DB3663">
      <w:pPr>
        <w:ind w:firstLine="567"/>
        <w:jc w:val="both"/>
        <w:rPr>
          <w:lang w:val="uk-UA"/>
        </w:rPr>
      </w:pPr>
      <w:r>
        <w:rPr>
          <w:color w:val="000000"/>
          <w:lang w:val="uk-UA"/>
        </w:rPr>
        <w:t>3.2. Підготовлений проєкт регуляторного акта та аналіз його регуляторного впливу з метою одержання зауважень та пропозицій обов'язково оприлюднюється шляхом розміщення на офіційній сторінці Луцької міської ради.</w:t>
      </w:r>
    </w:p>
    <w:p w:rsidR="00DB3663" w:rsidRDefault="00DB3663">
      <w:pPr>
        <w:ind w:firstLine="567"/>
        <w:jc w:val="both"/>
        <w:rPr>
          <w:lang w:val="uk-UA"/>
        </w:rPr>
      </w:pPr>
      <w:r>
        <w:rPr>
          <w:color w:val="000000"/>
          <w:lang w:val="uk-UA"/>
        </w:rPr>
        <w:t>3.3. Повідомлення про оприлюднення проєкту регуляторного акта оприлюднюється шляхом опублікування в одному із офіційних друкованих засобів масової інформації та/або шляхом розміщення на офіційній сторінці Луцької міської ради.</w:t>
      </w:r>
    </w:p>
    <w:p w:rsidR="00DB3663" w:rsidRDefault="00DB3663">
      <w:pPr>
        <w:ind w:firstLine="567"/>
        <w:jc w:val="both"/>
        <w:rPr>
          <w:lang w:val="uk-UA"/>
        </w:rPr>
      </w:pPr>
      <w:r>
        <w:rPr>
          <w:color w:val="000000"/>
          <w:lang w:val="uk-UA"/>
        </w:rPr>
        <w:t>3.4. </w:t>
      </w:r>
      <w:r>
        <w:rPr>
          <w:color w:val="000000"/>
          <w:szCs w:val="28"/>
          <w:lang w:val="uk-UA"/>
        </w:rPr>
        <w:t>Під час проходження регуляторної процедури щодо кожного проєкту регуляторного акта проводиться відкрите громадське обговорення;</w:t>
      </w:r>
    </w:p>
    <w:p w:rsidR="00DB3663" w:rsidRDefault="00DB3663">
      <w:pPr>
        <w:ind w:firstLine="567"/>
        <w:jc w:val="both"/>
        <w:rPr>
          <w:lang w:val="uk-UA"/>
        </w:rPr>
      </w:pPr>
      <w:r>
        <w:rPr>
          <w:color w:val="000000"/>
          <w:lang w:val="uk-UA"/>
        </w:rPr>
        <w:t>3.4.1. Залежно від складності проблеми визначеної у аналізі регуляторного впливу регуляторного акта, розробник може обирати будь-яку форму проведення відкритих громадських обговорень: громадські слухання, круглі столи, конференції, семінари тощо.</w:t>
      </w:r>
    </w:p>
    <w:p w:rsidR="00DB3663" w:rsidRDefault="00DB3663">
      <w:pPr>
        <w:pStyle w:val="BodyText"/>
        <w:spacing w:after="36"/>
        <w:ind w:firstLine="510"/>
        <w:jc w:val="both"/>
      </w:pPr>
      <w:r>
        <w:rPr>
          <w:szCs w:val="28"/>
        </w:rPr>
        <w:t>3.4.2. Оголошення про проведення громадського обговорення проєкту регуляторного акту розміщується у друкованому засобі масової інформації та/або на офіційному вебсайті розробника. За підсумками проведеного обговорення складається протокол.</w:t>
      </w:r>
    </w:p>
    <w:p w:rsidR="00DB3663" w:rsidRDefault="00DB3663">
      <w:pPr>
        <w:pStyle w:val="BodyText"/>
        <w:spacing w:after="36"/>
        <w:ind w:firstLine="510"/>
        <w:jc w:val="both"/>
      </w:pPr>
      <w:r>
        <w:rPr>
          <w:szCs w:val="28"/>
        </w:rPr>
        <w:t>3.4.3. </w:t>
      </w:r>
      <w:r>
        <w:rPr>
          <w:color w:val="000000"/>
          <w:lang w:bidi="ar-SA"/>
        </w:rPr>
        <w:t xml:space="preserve">Усі зауваження і пропозиції одержані під час обговорень </w:t>
      </w:r>
      <w:r>
        <w:rPr>
          <w:color w:val="000000"/>
          <w:szCs w:val="28"/>
          <w:lang w:bidi="ar-SA"/>
        </w:rPr>
        <w:t xml:space="preserve">підлягають обов’язковому розгляду, за результатами якого, </w:t>
      </w:r>
      <w:r>
        <w:rPr>
          <w:color w:val="000000"/>
          <w:lang w:bidi="ar-SA"/>
        </w:rPr>
        <w:t>розробник проєкту регуляторного акта їх частково чи повністю враховує або мотивовано відхиляє.</w:t>
      </w:r>
    </w:p>
    <w:p w:rsidR="00DB3663" w:rsidRDefault="00DB3663">
      <w:pPr>
        <w:ind w:firstLine="567"/>
        <w:jc w:val="both"/>
      </w:pPr>
      <w:r>
        <w:rPr>
          <w:color w:val="000000"/>
          <w:lang w:val="uk-UA"/>
        </w:rPr>
        <w:t>3.5. </w:t>
      </w:r>
      <w:r>
        <w:rPr>
          <w:color w:val="000000"/>
          <w:szCs w:val="28"/>
          <w:lang w:val="uk-UA"/>
        </w:rPr>
        <w:t xml:space="preserve">Кожен </w:t>
      </w:r>
      <w:r>
        <w:rPr>
          <w:szCs w:val="28"/>
          <w:lang w:val="uk-UA"/>
        </w:rPr>
        <w:t xml:space="preserve">проєкт регуляторного акта – рішення міської ради надсилається до спеціально уповноваженого органу з питань регуляторної політики (Державна регуляторна служба України) для отримання пропозицій та зауважень щодо його вдосконалення. </w:t>
      </w:r>
    </w:p>
    <w:p w:rsidR="00DB3663" w:rsidRDefault="00DB3663">
      <w:pPr>
        <w:ind w:firstLine="567"/>
        <w:jc w:val="both"/>
      </w:pPr>
      <w:r>
        <w:rPr>
          <w:color w:val="000000"/>
          <w:lang w:val="uk-UA"/>
        </w:rPr>
        <w:t>3.6. П</w:t>
      </w:r>
      <w:r>
        <w:rPr>
          <w:color w:val="000000"/>
          <w:szCs w:val="28"/>
          <w:highlight w:val="white"/>
          <w:lang w:val="uk-UA"/>
        </w:rPr>
        <w:t>остійна комісія з питань реалізації державної регуляторної політики у виконавчих органах міської ради розглядає проєкт регуляторного акта на відповідність вимог ст. 4, 8 Закону України «Про засади державної регуляторної політики у сфері господарської діяльності» і рекомендує розробнику або доопрацювати проєкт регуляторного акта або внести його на розгляд та затвердження.</w:t>
      </w:r>
    </w:p>
    <w:p w:rsidR="00DB3663" w:rsidRDefault="00DB3663">
      <w:pPr>
        <w:ind w:firstLine="567"/>
        <w:jc w:val="both"/>
      </w:pPr>
      <w:r>
        <w:rPr>
          <w:color w:val="000000"/>
          <w:lang w:val="uk-UA"/>
        </w:rPr>
        <w:t>3.7. Прийняті Луцькою міською радою та виконавчим комітетом міської ради регуляторні акти оприлюднюються в офіційних друкованих засобах масової інформації не пізніше як у 10 - денний термін після їх прийняття.</w:t>
      </w:r>
    </w:p>
    <w:p w:rsidR="00DB3663" w:rsidRDefault="00DB3663">
      <w:pPr>
        <w:jc w:val="both"/>
        <w:rPr>
          <w:b/>
          <w:bCs/>
          <w:i/>
          <w:color w:val="000000"/>
          <w:sz w:val="32"/>
          <w:lang w:val="uk-UA"/>
        </w:rPr>
      </w:pPr>
    </w:p>
    <w:p w:rsidR="00DB3663" w:rsidRDefault="00DB3663">
      <w:pPr>
        <w:jc w:val="center"/>
        <w:rPr>
          <w:b/>
          <w:bCs/>
        </w:rPr>
      </w:pPr>
      <w:r>
        <w:rPr>
          <w:b/>
          <w:bCs/>
          <w:color w:val="000000"/>
          <w:lang w:val="uk-UA"/>
        </w:rPr>
        <w:t>4. Проведення відстеження результативності регуляторного акта</w:t>
      </w:r>
    </w:p>
    <w:p w:rsidR="00DB3663" w:rsidRDefault="00DB3663">
      <w:pPr>
        <w:jc w:val="both"/>
        <w:rPr>
          <w:color w:val="000000"/>
          <w:lang w:val="uk-UA"/>
        </w:rPr>
      </w:pPr>
    </w:p>
    <w:p w:rsidR="00DB3663" w:rsidRDefault="00DB3663">
      <w:pPr>
        <w:ind w:firstLine="567"/>
        <w:jc w:val="both"/>
        <w:rPr>
          <w:lang w:val="uk-UA"/>
        </w:rPr>
      </w:pPr>
      <w:r>
        <w:rPr>
          <w:color w:val="000000"/>
          <w:lang w:val="uk-UA"/>
        </w:rPr>
        <w:t>4.1. </w:t>
      </w:r>
      <w:r>
        <w:rPr>
          <w:color w:val="000000"/>
          <w:szCs w:val="28"/>
          <w:lang w:val="uk-UA"/>
        </w:rPr>
        <w:t xml:space="preserve">Стосовно </w:t>
      </w:r>
      <w:r>
        <w:rPr>
          <w:szCs w:val="28"/>
          <w:lang w:val="uk-UA"/>
        </w:rPr>
        <w:t xml:space="preserve">кожного регуляторного акта послідовно здійснюється базове, повторне та періодичне відстеження його результативності. </w:t>
      </w:r>
      <w:r>
        <w:rPr>
          <w:color w:val="000000"/>
          <w:szCs w:val="28"/>
          <w:lang w:val="uk-UA"/>
        </w:rPr>
        <w:t>Методика відстеження результативності регуляторного акта є обов’язковою для застосування розробниками проєктів регуляторних актів.</w:t>
      </w:r>
    </w:p>
    <w:p w:rsidR="00DB3663" w:rsidRDefault="00DB3663">
      <w:pPr>
        <w:jc w:val="center"/>
        <w:rPr>
          <w:lang w:val="uk-UA"/>
        </w:rPr>
      </w:pPr>
      <w:r>
        <w:rPr>
          <w:szCs w:val="28"/>
          <w:lang w:val="uk-UA"/>
        </w:rPr>
        <w:t>5</w:t>
      </w:r>
    </w:p>
    <w:p w:rsidR="00DB3663" w:rsidRDefault="00DB3663">
      <w:pPr>
        <w:jc w:val="center"/>
        <w:rPr>
          <w:lang w:val="uk-UA"/>
        </w:rPr>
      </w:pPr>
    </w:p>
    <w:p w:rsidR="00DB3663" w:rsidRDefault="00DB3663">
      <w:pPr>
        <w:ind w:firstLine="567"/>
        <w:jc w:val="both"/>
        <w:rPr>
          <w:lang w:val="uk-UA"/>
        </w:rPr>
      </w:pPr>
      <w:r>
        <w:rPr>
          <w:szCs w:val="28"/>
          <w:lang w:val="uk-UA"/>
        </w:rPr>
        <w:t xml:space="preserve">4.2. Базове відстеження здійснюється до дня набрання чинності регуляторного акта, повторне - через рік з дня набрання ним чинності, періодичне - раз на кожні три роки починаючи з дня закінчення заходів з повторного відстеження. </w:t>
      </w:r>
    </w:p>
    <w:p w:rsidR="00DB3663" w:rsidRDefault="00DB3663">
      <w:pPr>
        <w:ind w:firstLine="567"/>
        <w:jc w:val="both"/>
        <w:rPr>
          <w:lang w:val="uk-UA"/>
        </w:rPr>
      </w:pPr>
      <w:r>
        <w:rPr>
          <w:szCs w:val="28"/>
          <w:lang w:val="uk-UA"/>
        </w:rPr>
        <w:t xml:space="preserve">4.3. Відстеження розміщуються </w:t>
      </w:r>
      <w:r>
        <w:rPr>
          <w:color w:val="000000"/>
          <w:szCs w:val="28"/>
          <w:lang w:val="uk-UA"/>
        </w:rPr>
        <w:t>на офіційному сайті розробника не пізніше як у 10 -денний термін з дня підписання звіту про проведене відстеження.</w:t>
      </w:r>
    </w:p>
    <w:p w:rsidR="00DB3663" w:rsidRDefault="00DB3663">
      <w:pPr>
        <w:jc w:val="center"/>
        <w:rPr>
          <w:lang w:val="uk-UA"/>
        </w:rPr>
      </w:pPr>
      <w:r>
        <w:rPr>
          <w:b/>
          <w:bCs/>
          <w:color w:val="000000"/>
          <w:lang w:val="uk-UA"/>
        </w:rPr>
        <w:t>5. Перегляд регуляторного акта</w:t>
      </w:r>
    </w:p>
    <w:p w:rsidR="00DB3663" w:rsidRDefault="00DB3663">
      <w:pPr>
        <w:jc w:val="center"/>
        <w:rPr>
          <w:sz w:val="14"/>
          <w:szCs w:val="14"/>
        </w:rPr>
      </w:pPr>
    </w:p>
    <w:p w:rsidR="00DB3663" w:rsidRDefault="00DB3663">
      <w:pPr>
        <w:ind w:firstLine="567"/>
        <w:jc w:val="both"/>
        <w:rPr>
          <w:lang w:val="uk-UA"/>
        </w:rPr>
      </w:pPr>
      <w:r>
        <w:rPr>
          <w:color w:val="000000"/>
          <w:lang w:val="uk-UA"/>
        </w:rPr>
        <w:t>5.1. Перегляд регуляторного акта здійснюється:</w:t>
      </w:r>
    </w:p>
    <w:p w:rsidR="00DB3663" w:rsidRDefault="00DB3663">
      <w:pPr>
        <w:ind w:firstLine="567"/>
        <w:jc w:val="both"/>
        <w:rPr>
          <w:lang w:val="uk-UA"/>
        </w:rPr>
      </w:pPr>
      <w:r>
        <w:rPr>
          <w:color w:val="000000"/>
          <w:lang w:val="uk-UA"/>
        </w:rPr>
        <w:t>- на підставі аналізу звіту про відстеження результативності цього регуляторного акта;</w:t>
      </w:r>
    </w:p>
    <w:p w:rsidR="00DB3663" w:rsidRDefault="00DB3663">
      <w:pPr>
        <w:ind w:firstLine="567"/>
        <w:jc w:val="both"/>
        <w:rPr>
          <w:lang w:val="uk-UA"/>
        </w:rPr>
      </w:pPr>
      <w:r>
        <w:rPr>
          <w:color w:val="000000"/>
          <w:lang w:val="uk-UA"/>
        </w:rPr>
        <w:t>- за ініціативою регуляторного органу, який прийняв відповідний регуляторний акт:</w:t>
      </w:r>
    </w:p>
    <w:p w:rsidR="00DB3663" w:rsidRDefault="00DB3663">
      <w:pPr>
        <w:ind w:firstLine="567"/>
        <w:jc w:val="both"/>
        <w:rPr>
          <w:lang w:val="uk-UA"/>
        </w:rPr>
      </w:pPr>
      <w:r>
        <w:rPr>
          <w:color w:val="000000"/>
          <w:lang w:val="uk-UA"/>
        </w:rPr>
        <w:t>- в інших випадках, передбачених Конституцією України та іншими законодавчими актами України.</w:t>
      </w:r>
    </w:p>
    <w:p w:rsidR="00DB3663" w:rsidRDefault="00DB3663">
      <w:pPr>
        <w:rPr>
          <w:color w:val="000000"/>
          <w:lang w:val="uk-UA"/>
        </w:rPr>
      </w:pPr>
    </w:p>
    <w:p w:rsidR="00DB3663" w:rsidRDefault="00DB3663">
      <w:pPr>
        <w:jc w:val="center"/>
        <w:rPr>
          <w:lang w:val="uk-UA"/>
        </w:rPr>
      </w:pPr>
      <w:r>
        <w:rPr>
          <w:b/>
          <w:bCs/>
          <w:color w:val="000000"/>
          <w:lang w:val="uk-UA"/>
        </w:rPr>
        <w:t>6. Звіт про здійснення державної регуляторної політики</w:t>
      </w:r>
    </w:p>
    <w:p w:rsidR="00DB3663" w:rsidRDefault="00DB3663">
      <w:pPr>
        <w:jc w:val="center"/>
        <w:rPr>
          <w:color w:val="000000"/>
          <w:sz w:val="14"/>
          <w:szCs w:val="14"/>
          <w:lang w:val="uk-UA"/>
        </w:rPr>
      </w:pPr>
    </w:p>
    <w:p w:rsidR="00DB3663" w:rsidRDefault="00DB3663">
      <w:pPr>
        <w:ind w:firstLine="567"/>
        <w:jc w:val="both"/>
        <w:rPr>
          <w:lang w:val="uk-UA"/>
        </w:rPr>
      </w:pPr>
      <w:r>
        <w:rPr>
          <w:color w:val="000000"/>
          <w:lang w:val="uk-UA"/>
        </w:rPr>
        <w:t>6.1. Луцька міська рада заслуховує щорічний звіт міського голови про здійснення державної регуляторної політики виконавчими органами міської ради.</w:t>
      </w:r>
    </w:p>
    <w:p w:rsidR="00DB3663" w:rsidRDefault="00DB3663">
      <w:pPr>
        <w:ind w:firstLine="567"/>
        <w:jc w:val="both"/>
        <w:rPr>
          <w:lang w:val="uk-UA"/>
        </w:rPr>
      </w:pPr>
      <w:r>
        <w:rPr>
          <w:color w:val="000000"/>
          <w:lang w:val="uk-UA"/>
        </w:rPr>
        <w:t>6.2. Щорічний звіт міського голови про здійснення державної регуляторної політики виконавчими органами міської ради оприлюднюється шляхом опублікування в офіційних друковних засобах масової інформації та на офіційному сайті Луцької міської ради.</w:t>
      </w:r>
    </w:p>
    <w:p w:rsidR="00DB3663" w:rsidRDefault="00DB3663">
      <w:pPr>
        <w:ind w:firstLine="567"/>
        <w:jc w:val="both"/>
        <w:rPr>
          <w:lang w:val="uk-UA"/>
        </w:rPr>
      </w:pPr>
    </w:p>
    <w:p w:rsidR="00DB3663" w:rsidRDefault="00DB3663">
      <w:pPr>
        <w:ind w:firstLine="567"/>
        <w:jc w:val="both"/>
        <w:rPr>
          <w:lang w:val="uk-UA"/>
        </w:rPr>
      </w:pPr>
    </w:p>
    <w:p w:rsidR="00DB3663" w:rsidRDefault="00DB3663">
      <w:pPr>
        <w:ind w:firstLine="567"/>
        <w:jc w:val="both"/>
        <w:rPr>
          <w:lang w:val="uk-UA"/>
        </w:rPr>
      </w:pPr>
    </w:p>
    <w:p w:rsidR="00DB3663" w:rsidRDefault="00DB3663">
      <w:pPr>
        <w:jc w:val="both"/>
      </w:pPr>
      <w:r>
        <w:rPr>
          <w:lang w:val="uk-UA"/>
        </w:rPr>
        <w:t>Секретар міської ради                                                            Юрій БЕЗПЯТКО</w:t>
      </w:r>
    </w:p>
    <w:sectPr w:rsidR="00DB3663" w:rsidSect="00EB45DC">
      <w:pgSz w:w="11906" w:h="16838"/>
      <w:pgMar w:top="567" w:right="567" w:bottom="1701" w:left="1985" w:header="0" w:footer="0" w:gutter="0"/>
      <w:pgNumType w:start="1"/>
      <w:cols w:space="720"/>
      <w:formProt w:val="0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CC"/>
    <w:family w:val="roman"/>
    <w:notTrueType/>
    <w:pitch w:val="variable"/>
    <w:sig w:usb0="00000201" w:usb1="00000000" w:usb2="00000000" w:usb3="00000000" w:csb0="00000004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panose1 w:val="00000400000000000000"/>
    <w:charset w:val="01"/>
    <w:family w:val="roman"/>
    <w:notTrueType/>
    <w:pitch w:val="variable"/>
    <w:sig w:usb0="00002001" w:usb1="00000000" w:usb2="00000000" w:usb3="00000000" w:csb0="00000004" w:csb1="00000000"/>
  </w:font>
  <w:font w:name="OpenSymbol">
    <w:altName w:val="Arial Unicode MS"/>
    <w:panose1 w:val="0501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Liberation Sans;Arial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791C9D"/>
    <w:multiLevelType w:val="multilevel"/>
    <w:tmpl w:val="FFFFFFFF"/>
    <w:lvl w:ilvl="0">
      <w:start w:val="1"/>
      <w:numFmt w:val="none"/>
      <w:pStyle w:val="Heading11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pStyle w:val="Heading31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B45DC"/>
    <w:rsid w:val="001F73D8"/>
    <w:rsid w:val="005D7325"/>
    <w:rsid w:val="00C938A9"/>
    <w:rsid w:val="00DB3663"/>
    <w:rsid w:val="00EB3334"/>
    <w:rsid w:val="00EB45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Arial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rFonts w:ascii="Times New Roman" w:hAnsi="Times New Roman" w:cs="Times New Roman"/>
      <w:sz w:val="28"/>
      <w:szCs w:val="24"/>
      <w:lang w:val="ru-RU" w:eastAsia="zh-C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1">
    <w:name w:val="Heading 11"/>
    <w:basedOn w:val="Normal"/>
    <w:next w:val="Normal"/>
    <w:uiPriority w:val="99"/>
    <w:pPr>
      <w:keepNext/>
      <w:numPr>
        <w:numId w:val="1"/>
      </w:numPr>
      <w:jc w:val="center"/>
      <w:outlineLvl w:val="0"/>
    </w:pPr>
    <w:rPr>
      <w:b/>
      <w:bCs/>
      <w:sz w:val="32"/>
      <w:lang w:val="uk-UA"/>
    </w:rPr>
  </w:style>
  <w:style w:type="paragraph" w:customStyle="1" w:styleId="Heading31">
    <w:name w:val="Heading 31"/>
    <w:basedOn w:val="Normal"/>
    <w:next w:val="Normal"/>
    <w:uiPriority w:val="99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  <w:lang w:val="uk-UA"/>
    </w:rPr>
  </w:style>
  <w:style w:type="character" w:customStyle="1" w:styleId="WW8Num1z0">
    <w:name w:val="WW8Num1z0"/>
    <w:uiPriority w:val="99"/>
  </w:style>
  <w:style w:type="character" w:customStyle="1" w:styleId="WW8Num1z1">
    <w:name w:val="WW8Num1z1"/>
    <w:uiPriority w:val="99"/>
  </w:style>
  <w:style w:type="character" w:customStyle="1" w:styleId="WW8Num1z2">
    <w:name w:val="WW8Num1z2"/>
    <w:uiPriority w:val="99"/>
  </w:style>
  <w:style w:type="character" w:customStyle="1" w:styleId="WW8Num1z3">
    <w:name w:val="WW8Num1z3"/>
    <w:uiPriority w:val="99"/>
  </w:style>
  <w:style w:type="character" w:customStyle="1" w:styleId="WW8Num1z4">
    <w:name w:val="WW8Num1z4"/>
    <w:uiPriority w:val="99"/>
  </w:style>
  <w:style w:type="character" w:customStyle="1" w:styleId="WW8Num1z5">
    <w:name w:val="WW8Num1z5"/>
    <w:uiPriority w:val="99"/>
  </w:style>
  <w:style w:type="character" w:customStyle="1" w:styleId="WW8Num1z6">
    <w:name w:val="WW8Num1z6"/>
    <w:uiPriority w:val="99"/>
  </w:style>
  <w:style w:type="character" w:customStyle="1" w:styleId="WW8Num1z7">
    <w:name w:val="WW8Num1z7"/>
    <w:uiPriority w:val="99"/>
  </w:style>
  <w:style w:type="character" w:customStyle="1" w:styleId="WW8Num1z8">
    <w:name w:val="WW8Num1z8"/>
    <w:uiPriority w:val="99"/>
  </w:style>
  <w:style w:type="character" w:customStyle="1" w:styleId="WW8Num2z0">
    <w:name w:val="WW8Num2z0"/>
    <w:uiPriority w:val="99"/>
  </w:style>
  <w:style w:type="character" w:customStyle="1" w:styleId="WW8Num2z1">
    <w:name w:val="WW8Num2z1"/>
    <w:uiPriority w:val="99"/>
  </w:style>
  <w:style w:type="character" w:customStyle="1" w:styleId="WW8Num2z2">
    <w:name w:val="WW8Num2z2"/>
    <w:uiPriority w:val="99"/>
  </w:style>
  <w:style w:type="character" w:customStyle="1" w:styleId="WW8Num2z3">
    <w:name w:val="WW8Num2z3"/>
    <w:uiPriority w:val="99"/>
  </w:style>
  <w:style w:type="character" w:customStyle="1" w:styleId="WW8Num2z4">
    <w:name w:val="WW8Num2z4"/>
    <w:uiPriority w:val="99"/>
  </w:style>
  <w:style w:type="character" w:customStyle="1" w:styleId="WW8Num2z5">
    <w:name w:val="WW8Num2z5"/>
    <w:uiPriority w:val="99"/>
  </w:style>
  <w:style w:type="character" w:customStyle="1" w:styleId="WW8Num2z6">
    <w:name w:val="WW8Num2z6"/>
    <w:uiPriority w:val="99"/>
  </w:style>
  <w:style w:type="character" w:customStyle="1" w:styleId="WW8Num2z7">
    <w:name w:val="WW8Num2z7"/>
    <w:uiPriority w:val="99"/>
  </w:style>
  <w:style w:type="character" w:customStyle="1" w:styleId="WW8Num2z8">
    <w:name w:val="WW8Num2z8"/>
    <w:uiPriority w:val="99"/>
  </w:style>
  <w:style w:type="character" w:customStyle="1" w:styleId="WW8Num3z0">
    <w:name w:val="WW8Num3z0"/>
    <w:uiPriority w:val="99"/>
  </w:style>
  <w:style w:type="character" w:customStyle="1" w:styleId="WW8Num3z1">
    <w:name w:val="WW8Num3z1"/>
    <w:uiPriority w:val="99"/>
  </w:style>
  <w:style w:type="character" w:customStyle="1" w:styleId="WW8Num3z2">
    <w:name w:val="WW8Num3z2"/>
    <w:uiPriority w:val="99"/>
  </w:style>
  <w:style w:type="character" w:customStyle="1" w:styleId="WW8Num3z3">
    <w:name w:val="WW8Num3z3"/>
    <w:uiPriority w:val="99"/>
  </w:style>
  <w:style w:type="character" w:customStyle="1" w:styleId="WW8Num3z4">
    <w:name w:val="WW8Num3z4"/>
    <w:uiPriority w:val="99"/>
  </w:style>
  <w:style w:type="character" w:customStyle="1" w:styleId="WW8Num3z5">
    <w:name w:val="WW8Num3z5"/>
    <w:uiPriority w:val="99"/>
  </w:style>
  <w:style w:type="character" w:customStyle="1" w:styleId="WW8Num3z6">
    <w:name w:val="WW8Num3z6"/>
    <w:uiPriority w:val="99"/>
  </w:style>
  <w:style w:type="character" w:customStyle="1" w:styleId="WW8Num3z7">
    <w:name w:val="WW8Num3z7"/>
    <w:uiPriority w:val="99"/>
  </w:style>
  <w:style w:type="character" w:customStyle="1" w:styleId="WW8Num3z8">
    <w:name w:val="WW8Num3z8"/>
    <w:uiPriority w:val="99"/>
  </w:style>
  <w:style w:type="character" w:customStyle="1" w:styleId="WW8Num4z0">
    <w:name w:val="WW8Num4z0"/>
    <w:uiPriority w:val="99"/>
  </w:style>
  <w:style w:type="character" w:customStyle="1" w:styleId="WW8Num5z0">
    <w:name w:val="WW8Num5z0"/>
    <w:uiPriority w:val="99"/>
    <w:rPr>
      <w:rFonts w:ascii="Times New Roman" w:hAnsi="Times New Roman"/>
    </w:rPr>
  </w:style>
  <w:style w:type="character" w:customStyle="1" w:styleId="WW8Num5z1">
    <w:name w:val="WW8Num5z1"/>
    <w:uiPriority w:val="99"/>
    <w:rPr>
      <w:rFonts w:ascii="Courier New" w:hAnsi="Courier New"/>
    </w:rPr>
  </w:style>
  <w:style w:type="character" w:customStyle="1" w:styleId="WW8Num5z2">
    <w:name w:val="WW8Num5z2"/>
    <w:uiPriority w:val="99"/>
    <w:rPr>
      <w:rFonts w:ascii="Wingdings" w:hAnsi="Wingdings"/>
    </w:rPr>
  </w:style>
  <w:style w:type="character" w:customStyle="1" w:styleId="WW8Num5z3">
    <w:name w:val="WW8Num5z3"/>
    <w:uiPriority w:val="99"/>
    <w:rPr>
      <w:rFonts w:ascii="Symbol" w:hAnsi="Symbol"/>
    </w:rPr>
  </w:style>
  <w:style w:type="character" w:customStyle="1" w:styleId="WW8Num6z0">
    <w:name w:val="WW8Num6z0"/>
    <w:uiPriority w:val="99"/>
  </w:style>
  <w:style w:type="character" w:customStyle="1" w:styleId="WW8Num6z1">
    <w:name w:val="WW8Num6z1"/>
    <w:uiPriority w:val="99"/>
  </w:style>
  <w:style w:type="character" w:customStyle="1" w:styleId="WW8Num6z2">
    <w:name w:val="WW8Num6z2"/>
    <w:uiPriority w:val="99"/>
  </w:style>
  <w:style w:type="character" w:customStyle="1" w:styleId="WW8Num6z3">
    <w:name w:val="WW8Num6z3"/>
    <w:uiPriority w:val="99"/>
  </w:style>
  <w:style w:type="character" w:customStyle="1" w:styleId="WW8Num6z4">
    <w:name w:val="WW8Num6z4"/>
    <w:uiPriority w:val="99"/>
  </w:style>
  <w:style w:type="character" w:customStyle="1" w:styleId="WW8Num6z5">
    <w:name w:val="WW8Num6z5"/>
    <w:uiPriority w:val="99"/>
  </w:style>
  <w:style w:type="character" w:customStyle="1" w:styleId="WW8Num6z6">
    <w:name w:val="WW8Num6z6"/>
    <w:uiPriority w:val="99"/>
  </w:style>
  <w:style w:type="character" w:customStyle="1" w:styleId="WW8Num6z7">
    <w:name w:val="WW8Num6z7"/>
    <w:uiPriority w:val="99"/>
  </w:style>
  <w:style w:type="character" w:customStyle="1" w:styleId="WW8Num6z8">
    <w:name w:val="WW8Num6z8"/>
    <w:uiPriority w:val="99"/>
  </w:style>
  <w:style w:type="character" w:customStyle="1" w:styleId="WW8Num7z0">
    <w:name w:val="WW8Num7z0"/>
    <w:uiPriority w:val="99"/>
    <w:rPr>
      <w:rFonts w:ascii="Times New Roman" w:eastAsia="Times New Roman" w:hAnsi="Times New Roman"/>
    </w:rPr>
  </w:style>
  <w:style w:type="character" w:customStyle="1" w:styleId="WW8Num7z1">
    <w:name w:val="WW8Num7z1"/>
    <w:uiPriority w:val="99"/>
    <w:rPr>
      <w:rFonts w:ascii="Courier New" w:hAnsi="Courier New"/>
    </w:rPr>
  </w:style>
  <w:style w:type="character" w:customStyle="1" w:styleId="WW8Num7z2">
    <w:name w:val="WW8Num7z2"/>
    <w:uiPriority w:val="99"/>
    <w:rPr>
      <w:rFonts w:ascii="Wingdings" w:hAnsi="Wingdings"/>
    </w:rPr>
  </w:style>
  <w:style w:type="character" w:customStyle="1" w:styleId="WW8Num7z3">
    <w:name w:val="WW8Num7z3"/>
    <w:uiPriority w:val="99"/>
    <w:rPr>
      <w:rFonts w:ascii="Symbol" w:hAnsi="Symbol"/>
    </w:rPr>
  </w:style>
  <w:style w:type="character" w:customStyle="1" w:styleId="WW8Num8z0">
    <w:name w:val="WW8Num8z0"/>
    <w:uiPriority w:val="99"/>
  </w:style>
  <w:style w:type="character" w:customStyle="1" w:styleId="WW8Num8z1">
    <w:name w:val="WW8Num8z1"/>
    <w:uiPriority w:val="99"/>
  </w:style>
  <w:style w:type="character" w:customStyle="1" w:styleId="WW8Num8z2">
    <w:name w:val="WW8Num8z2"/>
    <w:uiPriority w:val="99"/>
  </w:style>
  <w:style w:type="character" w:customStyle="1" w:styleId="WW8Num8z3">
    <w:name w:val="WW8Num8z3"/>
    <w:uiPriority w:val="99"/>
  </w:style>
  <w:style w:type="character" w:customStyle="1" w:styleId="WW8Num8z4">
    <w:name w:val="WW8Num8z4"/>
    <w:uiPriority w:val="99"/>
  </w:style>
  <w:style w:type="character" w:customStyle="1" w:styleId="WW8Num8z5">
    <w:name w:val="WW8Num8z5"/>
    <w:uiPriority w:val="99"/>
  </w:style>
  <w:style w:type="character" w:customStyle="1" w:styleId="WW8Num8z6">
    <w:name w:val="WW8Num8z6"/>
    <w:uiPriority w:val="99"/>
  </w:style>
  <w:style w:type="character" w:customStyle="1" w:styleId="WW8Num8z7">
    <w:name w:val="WW8Num8z7"/>
    <w:uiPriority w:val="99"/>
  </w:style>
  <w:style w:type="character" w:customStyle="1" w:styleId="WW8Num8z8">
    <w:name w:val="WW8Num8z8"/>
    <w:uiPriority w:val="99"/>
  </w:style>
  <w:style w:type="character" w:customStyle="1" w:styleId="WW8Num9z0">
    <w:name w:val="WW8Num9z0"/>
    <w:uiPriority w:val="99"/>
  </w:style>
  <w:style w:type="character" w:customStyle="1" w:styleId="WW8Num9z1">
    <w:name w:val="WW8Num9z1"/>
    <w:uiPriority w:val="99"/>
  </w:style>
  <w:style w:type="character" w:customStyle="1" w:styleId="WW8Num9z2">
    <w:name w:val="WW8Num9z2"/>
    <w:uiPriority w:val="99"/>
  </w:style>
  <w:style w:type="character" w:customStyle="1" w:styleId="WW8Num9z3">
    <w:name w:val="WW8Num9z3"/>
    <w:uiPriority w:val="99"/>
  </w:style>
  <w:style w:type="character" w:customStyle="1" w:styleId="WW8Num9z4">
    <w:name w:val="WW8Num9z4"/>
    <w:uiPriority w:val="99"/>
  </w:style>
  <w:style w:type="character" w:customStyle="1" w:styleId="WW8Num9z5">
    <w:name w:val="WW8Num9z5"/>
    <w:uiPriority w:val="99"/>
  </w:style>
  <w:style w:type="character" w:customStyle="1" w:styleId="WW8Num9z6">
    <w:name w:val="WW8Num9z6"/>
    <w:uiPriority w:val="99"/>
  </w:style>
  <w:style w:type="character" w:customStyle="1" w:styleId="WW8Num9z7">
    <w:name w:val="WW8Num9z7"/>
    <w:uiPriority w:val="99"/>
  </w:style>
  <w:style w:type="character" w:customStyle="1" w:styleId="WW8Num9z8">
    <w:name w:val="WW8Num9z8"/>
    <w:uiPriority w:val="99"/>
  </w:style>
  <w:style w:type="character" w:customStyle="1" w:styleId="WW8Num10z0">
    <w:name w:val="WW8Num10z0"/>
    <w:uiPriority w:val="99"/>
  </w:style>
  <w:style w:type="character" w:customStyle="1" w:styleId="WW8Num10z1">
    <w:name w:val="WW8Num10z1"/>
    <w:uiPriority w:val="99"/>
  </w:style>
  <w:style w:type="character" w:customStyle="1" w:styleId="WW8Num10z2">
    <w:name w:val="WW8Num10z2"/>
    <w:uiPriority w:val="99"/>
  </w:style>
  <w:style w:type="character" w:customStyle="1" w:styleId="WW8Num10z3">
    <w:name w:val="WW8Num10z3"/>
    <w:uiPriority w:val="99"/>
  </w:style>
  <w:style w:type="character" w:customStyle="1" w:styleId="WW8Num10z4">
    <w:name w:val="WW8Num10z4"/>
    <w:uiPriority w:val="99"/>
  </w:style>
  <w:style w:type="character" w:customStyle="1" w:styleId="WW8Num10z5">
    <w:name w:val="WW8Num10z5"/>
    <w:uiPriority w:val="99"/>
  </w:style>
  <w:style w:type="character" w:customStyle="1" w:styleId="WW8Num10z6">
    <w:name w:val="WW8Num10z6"/>
    <w:uiPriority w:val="99"/>
  </w:style>
  <w:style w:type="character" w:customStyle="1" w:styleId="WW8Num10z7">
    <w:name w:val="WW8Num10z7"/>
    <w:uiPriority w:val="99"/>
  </w:style>
  <w:style w:type="character" w:customStyle="1" w:styleId="WW8Num10z8">
    <w:name w:val="WW8Num10z8"/>
    <w:uiPriority w:val="99"/>
  </w:style>
  <w:style w:type="character" w:customStyle="1" w:styleId="1">
    <w:name w:val="Основной шрифт абзаца1"/>
    <w:uiPriority w:val="99"/>
  </w:style>
  <w:style w:type="character" w:customStyle="1" w:styleId="a">
    <w:name w:val="Гіперпосилання"/>
    <w:uiPriority w:val="99"/>
    <w:rPr>
      <w:color w:val="000080"/>
      <w:u w:val="single"/>
    </w:rPr>
  </w:style>
  <w:style w:type="character" w:customStyle="1" w:styleId="3">
    <w:name w:val="Знак Знак3"/>
    <w:basedOn w:val="1"/>
    <w:uiPriority w:val="99"/>
    <w:rPr>
      <w:rFonts w:eastAsia="Times New Roman" w:cs="Mangal"/>
      <w:kern w:val="2"/>
      <w:sz w:val="24"/>
      <w:szCs w:val="24"/>
      <w:lang w:bidi="hi-IN"/>
    </w:rPr>
  </w:style>
  <w:style w:type="character" w:customStyle="1" w:styleId="2">
    <w:name w:val="Знак Знак2"/>
    <w:basedOn w:val="1"/>
    <w:uiPriority w:val="99"/>
    <w:rPr>
      <w:rFonts w:eastAsia="Times New Roman" w:cs="Mangal"/>
      <w:b/>
      <w:kern w:val="2"/>
      <w:sz w:val="24"/>
      <w:szCs w:val="24"/>
      <w:lang w:bidi="hi-IN"/>
    </w:rPr>
  </w:style>
  <w:style w:type="character" w:customStyle="1" w:styleId="10">
    <w:name w:val="Знак Знак1"/>
    <w:basedOn w:val="1"/>
    <w:uiPriority w:val="99"/>
    <w:rPr>
      <w:rFonts w:eastAsia="Times New Roman" w:cs="Mangal"/>
      <w:kern w:val="2"/>
      <w:sz w:val="24"/>
      <w:szCs w:val="24"/>
      <w:lang w:val="ru-RU" w:bidi="hi-IN"/>
    </w:rPr>
  </w:style>
  <w:style w:type="character" w:customStyle="1" w:styleId="a0">
    <w:name w:val="Знак Знак"/>
    <w:basedOn w:val="1"/>
    <w:uiPriority w:val="99"/>
    <w:rPr>
      <w:rFonts w:eastAsia="Times New Roman" w:cs="Mangal"/>
      <w:kern w:val="2"/>
      <w:sz w:val="24"/>
      <w:szCs w:val="24"/>
      <w:lang w:bidi="hi-IN"/>
    </w:rPr>
  </w:style>
  <w:style w:type="character" w:customStyle="1" w:styleId="FontStyle22">
    <w:name w:val="Font Style22"/>
    <w:basedOn w:val="1"/>
    <w:uiPriority w:val="99"/>
    <w:rPr>
      <w:rFonts w:ascii="Times New Roman" w:hAnsi="Times New Roman" w:cs="Times New Roman"/>
      <w:spacing w:val="10"/>
      <w:sz w:val="24"/>
      <w:szCs w:val="24"/>
    </w:rPr>
  </w:style>
  <w:style w:type="character" w:customStyle="1" w:styleId="a1">
    <w:name w:val="Номер сторінки"/>
    <w:basedOn w:val="1"/>
    <w:uiPriority w:val="99"/>
    <w:rPr>
      <w:rFonts w:cs="Times New Roman"/>
    </w:rPr>
  </w:style>
  <w:style w:type="character" w:customStyle="1" w:styleId="apple-converted-space">
    <w:name w:val="apple-converted-space"/>
    <w:basedOn w:val="1"/>
    <w:uiPriority w:val="99"/>
    <w:rPr>
      <w:rFonts w:cs="Times New Roman"/>
    </w:rPr>
  </w:style>
  <w:style w:type="character" w:customStyle="1" w:styleId="a2">
    <w:name w:val="Маркери"/>
    <w:uiPriority w:val="99"/>
    <w:rPr>
      <w:rFonts w:ascii="OpenSymbol" w:eastAsia="Times New Roman" w:hAnsi="OpenSymbol"/>
    </w:rPr>
  </w:style>
  <w:style w:type="character" w:customStyle="1" w:styleId="a3">
    <w:name w:val="Виділення жирним"/>
    <w:uiPriority w:val="99"/>
    <w:rPr>
      <w:b/>
    </w:rPr>
  </w:style>
  <w:style w:type="character" w:customStyle="1" w:styleId="a4">
    <w:name w:val="Основной текст Знак"/>
    <w:basedOn w:val="DefaultParagraphFont"/>
    <w:uiPriority w:val="99"/>
    <w:rPr>
      <w:rFonts w:ascii="Times New Roman" w:hAnsi="Times New Roman" w:cs="Times New Roman"/>
    </w:rPr>
  </w:style>
  <w:style w:type="character" w:customStyle="1" w:styleId="a5">
    <w:name w:val="Верхний колонтитул Знак"/>
    <w:basedOn w:val="DefaultParagraphFont"/>
    <w:uiPriority w:val="99"/>
    <w:rPr>
      <w:rFonts w:ascii="Times New Roman" w:hAnsi="Times New Roman" w:cs="Times New Roman"/>
      <w:sz w:val="28"/>
      <w:lang w:val="ru-RU" w:bidi="ar-SA"/>
    </w:rPr>
  </w:style>
  <w:style w:type="character" w:customStyle="1" w:styleId="a6">
    <w:name w:val="Нижний колонтитул Знак"/>
    <w:basedOn w:val="DefaultParagraphFont"/>
    <w:uiPriority w:val="99"/>
    <w:semiHidden/>
    <w:rPr>
      <w:rFonts w:ascii="Times New Roman" w:hAnsi="Times New Roman" w:cs="Times New Roman"/>
      <w:sz w:val="28"/>
      <w:lang w:val="ru-RU" w:bidi="ar-SA"/>
    </w:rPr>
  </w:style>
  <w:style w:type="paragraph" w:customStyle="1" w:styleId="a7">
    <w:name w:val="Заголовок"/>
    <w:basedOn w:val="Normal"/>
    <w:next w:val="BodyText"/>
    <w:uiPriority w:val="99"/>
    <w:pPr>
      <w:keepNext/>
      <w:spacing w:before="240" w:after="120"/>
    </w:pPr>
    <w:rPr>
      <w:rFonts w:ascii="Liberation Sans;Arial" w:eastAsia="Microsoft YaHei" w:hAnsi="Liberation Sans;Arial" w:cs="Arial"/>
      <w:szCs w:val="28"/>
    </w:rPr>
  </w:style>
  <w:style w:type="paragraph" w:styleId="BodyText">
    <w:name w:val="Body Text"/>
    <w:basedOn w:val="Normal"/>
    <w:link w:val="BodyTextChar"/>
    <w:uiPriority w:val="99"/>
    <w:pPr>
      <w:widowControl w:val="0"/>
      <w:spacing w:after="120"/>
    </w:pPr>
    <w:rPr>
      <w:rFonts w:cs="Mangal"/>
      <w:kern w:val="2"/>
      <w:lang w:val="uk-UA" w:bidi="hi-IN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D41642"/>
    <w:rPr>
      <w:rFonts w:ascii="Times New Roman" w:hAnsi="Times New Roman" w:cs="Times New Roman"/>
      <w:sz w:val="28"/>
      <w:szCs w:val="24"/>
      <w:lang w:val="ru-RU" w:eastAsia="zh-CN"/>
    </w:rPr>
  </w:style>
  <w:style w:type="paragraph" w:styleId="List">
    <w:name w:val="List"/>
    <w:basedOn w:val="BodyText"/>
    <w:uiPriority w:val="99"/>
    <w:rPr>
      <w:rFonts w:cs="Arial"/>
    </w:rPr>
  </w:style>
  <w:style w:type="paragraph" w:customStyle="1" w:styleId="Caption1">
    <w:name w:val="Caption1"/>
    <w:basedOn w:val="Normal"/>
    <w:uiPriority w:val="99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8">
    <w:name w:val="Покажчик"/>
    <w:basedOn w:val="Normal"/>
    <w:uiPriority w:val="99"/>
    <w:pPr>
      <w:suppressLineNumbers/>
    </w:pPr>
    <w:rPr>
      <w:rFonts w:cs="Arial"/>
    </w:rPr>
  </w:style>
  <w:style w:type="paragraph" w:styleId="Caption">
    <w:name w:val="caption"/>
    <w:basedOn w:val="Normal"/>
    <w:uiPriority w:val="99"/>
    <w:qFormat/>
    <w:pPr>
      <w:suppressLineNumbers/>
      <w:spacing w:before="120" w:after="120"/>
    </w:pPr>
    <w:rPr>
      <w:rFonts w:cs="Arial"/>
      <w:i/>
      <w:iCs/>
      <w:sz w:val="24"/>
    </w:rPr>
  </w:style>
  <w:style w:type="paragraph" w:styleId="ListParagraph">
    <w:name w:val="List Paragraph"/>
    <w:basedOn w:val="Normal"/>
    <w:uiPriority w:val="99"/>
    <w:qFormat/>
    <w:pPr>
      <w:ind w:left="708" w:firstLine="720"/>
      <w:jc w:val="both"/>
    </w:pPr>
    <w:rPr>
      <w:szCs w:val="32"/>
    </w:rPr>
  </w:style>
  <w:style w:type="paragraph" w:styleId="BalloonText">
    <w:name w:val="Balloon Text"/>
    <w:basedOn w:val="Normal"/>
    <w:link w:val="BalloonTextChar"/>
    <w:uiPriority w:val="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1642"/>
    <w:rPr>
      <w:rFonts w:ascii="Times New Roman" w:hAnsi="Times New Roman" w:cs="Times New Roman"/>
      <w:sz w:val="0"/>
      <w:szCs w:val="0"/>
      <w:lang w:val="ru-RU" w:eastAsia="zh-CN"/>
    </w:rPr>
  </w:style>
  <w:style w:type="paragraph" w:styleId="Subtitle">
    <w:name w:val="Subtitle"/>
    <w:basedOn w:val="Normal"/>
    <w:next w:val="BodyText"/>
    <w:link w:val="SubtitleChar"/>
    <w:uiPriority w:val="99"/>
    <w:qFormat/>
    <w:pPr>
      <w:widowControl w:val="0"/>
      <w:jc w:val="center"/>
    </w:pPr>
    <w:rPr>
      <w:rFonts w:cs="Mangal"/>
      <w:b/>
      <w:kern w:val="2"/>
      <w:sz w:val="34"/>
      <w:lang w:val="uk-UA" w:bidi="hi-IN"/>
    </w:rPr>
  </w:style>
  <w:style w:type="character" w:customStyle="1" w:styleId="SubtitleChar">
    <w:name w:val="Subtitle Char"/>
    <w:basedOn w:val="DefaultParagraphFont"/>
    <w:link w:val="Subtitle"/>
    <w:uiPriority w:val="11"/>
    <w:rsid w:val="00D41642"/>
    <w:rPr>
      <w:rFonts w:asciiTheme="majorHAnsi" w:eastAsiaTheme="majorEastAsia" w:hAnsiTheme="majorHAnsi" w:cstheme="majorBidi"/>
      <w:sz w:val="24"/>
      <w:szCs w:val="24"/>
      <w:lang w:val="ru-RU" w:eastAsia="zh-CN"/>
    </w:rPr>
  </w:style>
  <w:style w:type="paragraph" w:customStyle="1" w:styleId="a9">
    <w:name w:val="Верхній і нижній колонтитули"/>
    <w:basedOn w:val="Normal"/>
    <w:uiPriority w:val="99"/>
  </w:style>
  <w:style w:type="paragraph" w:styleId="Header">
    <w:name w:val="header"/>
    <w:basedOn w:val="Normal"/>
    <w:link w:val="HeaderChar"/>
    <w:uiPriority w:val="99"/>
    <w:pPr>
      <w:tabs>
        <w:tab w:val="center" w:pos="4819"/>
        <w:tab w:val="right" w:pos="9639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41642"/>
    <w:rPr>
      <w:rFonts w:ascii="Times New Roman" w:hAnsi="Times New Roman" w:cs="Times New Roman"/>
      <w:sz w:val="28"/>
      <w:szCs w:val="24"/>
      <w:lang w:val="ru-RU" w:eastAsia="zh-CN"/>
    </w:rPr>
  </w:style>
  <w:style w:type="paragraph" w:styleId="Footer">
    <w:name w:val="footer"/>
    <w:basedOn w:val="Normal"/>
    <w:link w:val="FooterChar"/>
    <w:uiPriority w:val="99"/>
    <w:semiHidden/>
    <w:pPr>
      <w:tabs>
        <w:tab w:val="center" w:pos="4819"/>
        <w:tab w:val="right" w:pos="9639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41642"/>
    <w:rPr>
      <w:rFonts w:ascii="Times New Roman" w:hAnsi="Times New Roman" w:cs="Times New Roman"/>
      <w:sz w:val="28"/>
      <w:szCs w:val="24"/>
      <w:lang w:val="ru-RU" w:eastAsia="zh-CN"/>
    </w:rPr>
  </w:style>
  <w:style w:type="paragraph" w:styleId="NormalWeb">
    <w:name w:val="Normal (Web)"/>
    <w:basedOn w:val="Normal"/>
    <w:uiPriority w:val="99"/>
    <w:pPr>
      <w:widowControl w:val="0"/>
      <w:spacing w:before="280" w:after="280"/>
    </w:pPr>
    <w:rPr>
      <w:rFonts w:cs="Mangal"/>
      <w:kern w:val="2"/>
      <w:lang w:bidi="hi-IN"/>
    </w:rPr>
  </w:style>
  <w:style w:type="paragraph" w:customStyle="1" w:styleId="31">
    <w:name w:val="Основной текст (3)1"/>
    <w:basedOn w:val="Normal"/>
    <w:uiPriority w:val="99"/>
    <w:pPr>
      <w:widowControl w:val="0"/>
      <w:spacing w:before="420" w:after="180" w:line="230" w:lineRule="exact"/>
    </w:pPr>
    <w:rPr>
      <w:rFonts w:ascii="Arial" w:hAnsi="Arial" w:cs="Arial"/>
      <w:b/>
      <w:bCs/>
      <w:spacing w:val="-10"/>
      <w:kern w:val="2"/>
      <w:sz w:val="20"/>
      <w:szCs w:val="20"/>
      <w:lang w:val="uk-UA" w:bidi="hi-IN"/>
    </w:rPr>
  </w:style>
  <w:style w:type="paragraph" w:customStyle="1" w:styleId="11">
    <w:name w:val="Схема документа1"/>
    <w:basedOn w:val="Normal"/>
    <w:uiPriority w:val="99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a">
    <w:name w:val="Вміст таблиці"/>
    <w:basedOn w:val="Normal"/>
    <w:uiPriority w:val="99"/>
    <w:pPr>
      <w:suppressLineNumbers/>
    </w:pPr>
  </w:style>
  <w:style w:type="paragraph" w:customStyle="1" w:styleId="ab">
    <w:name w:val="Заголовок таблиці"/>
    <w:basedOn w:val="aa"/>
    <w:uiPriority w:val="99"/>
    <w:pPr>
      <w:jc w:val="center"/>
    </w:pPr>
    <w:rPr>
      <w:b/>
      <w:bCs/>
    </w:rPr>
  </w:style>
  <w:style w:type="paragraph" w:customStyle="1" w:styleId="LO-normal">
    <w:name w:val="LO-normal"/>
    <w:uiPriority w:val="99"/>
    <w:pPr>
      <w:suppressAutoHyphens/>
    </w:pPr>
    <w:rPr>
      <w:rFonts w:ascii="Times New Roman" w:hAnsi="Times New Roman" w:cs="Times New Roman"/>
      <w:sz w:val="20"/>
      <w:szCs w:val="20"/>
      <w:lang w:eastAsia="ru-RU"/>
    </w:rPr>
  </w:style>
  <w:style w:type="paragraph" w:styleId="DocumentMap">
    <w:name w:val="Document Map"/>
    <w:basedOn w:val="Normal"/>
    <w:link w:val="DocumentMapChar"/>
    <w:uiPriority w:val="99"/>
    <w:rPr>
      <w:rFonts w:ascii="Calibri" w:hAnsi="Calibri" w:cs="Calibri"/>
      <w:sz w:val="22"/>
      <w:szCs w:val="22"/>
      <w:lang w:val="uk-UA" w:eastAsia="uk-U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41642"/>
    <w:rPr>
      <w:rFonts w:ascii="Times New Roman" w:hAnsi="Times New Roman" w:cs="Times New Roman"/>
      <w:sz w:val="0"/>
      <w:szCs w:val="0"/>
      <w:lang w:val="ru-RU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226</TotalTime>
  <Pages>4</Pages>
  <Words>5297</Words>
  <Characters>3020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sheremeta</cp:lastModifiedBy>
  <cp:revision>91</cp:revision>
  <cp:lastPrinted>2021-11-01T12:15:00Z</cp:lastPrinted>
  <dcterms:created xsi:type="dcterms:W3CDTF">1995-11-21T18:41:00Z</dcterms:created>
  <dcterms:modified xsi:type="dcterms:W3CDTF">2021-11-05T12:17:00Z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Reanimator Extreme Edition</vt:lpwstr>
  </property>
</Properties>
</file>