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Голові Верховної Ради України Стефанчуку Р.О.,</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головам фракцій у Верховній Раді:</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політичної партії «Слуга народу» Арахамії Д. Г.,</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політичної партії «Всеукраїнське об’єднання «Батьківщина» Тимошенко Ю.В.,</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політичної партії «Голос»</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Железняку Я.І.,</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 xml:space="preserve">співголовам фракції політичної партії «Європейська солідарність» </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Герасимову А.В. та Геращенко І.В.,</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 xml:space="preserve">співголовам фракції політичної партії «Опозиційна платформа «За життя» </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 xml:space="preserve">Бойку Ю. А. та Рабіновичу В. З., </w:t>
      </w:r>
    </w:p>
    <w:p w:rsidR="00995CB6" w:rsidRPr="005D0C42" w:rsidRDefault="00995CB6" w:rsidP="005D0C42">
      <w:pPr>
        <w:ind w:left="5220" w:right="-120"/>
        <w:rPr>
          <w:rFonts w:ascii="Times New Roman" w:hAnsi="Times New Roman" w:cs="Times New Roman"/>
          <w:color w:val="000000"/>
          <w:sz w:val="28"/>
          <w:szCs w:val="28"/>
        </w:rPr>
      </w:pPr>
      <w:r w:rsidRPr="005D0C42">
        <w:rPr>
          <w:rFonts w:ascii="Times New Roman" w:hAnsi="Times New Roman" w:cs="Times New Roman"/>
          <w:color w:val="000000"/>
          <w:sz w:val="28"/>
          <w:szCs w:val="28"/>
        </w:rPr>
        <w:t>голові депутатської групи «Довіра» Кулінічу О.І.</w:t>
      </w:r>
    </w:p>
    <w:p w:rsidR="00995CB6" w:rsidRPr="005D0C42" w:rsidRDefault="00995CB6" w:rsidP="005D0C42">
      <w:pPr>
        <w:spacing w:line="259" w:lineRule="auto"/>
        <w:ind w:left="360" w:right="-120" w:firstLine="720"/>
        <w:rPr>
          <w:rFonts w:ascii="Times New Roman" w:hAnsi="Times New Roman" w:cs="Times New Roman"/>
          <w:color w:val="000000"/>
          <w:sz w:val="28"/>
          <w:szCs w:val="28"/>
        </w:rPr>
      </w:pPr>
    </w:p>
    <w:p w:rsidR="00995CB6" w:rsidRPr="005D0C42" w:rsidRDefault="00995CB6" w:rsidP="005D0C42">
      <w:pPr>
        <w:spacing w:line="259" w:lineRule="auto"/>
        <w:ind w:left="360" w:right="-120" w:firstLine="720"/>
        <w:jc w:val="center"/>
        <w:rPr>
          <w:rFonts w:ascii="Times New Roman" w:hAnsi="Times New Roman" w:cs="Times New Roman"/>
          <w:color w:val="000000"/>
          <w:sz w:val="28"/>
          <w:szCs w:val="28"/>
        </w:rPr>
      </w:pPr>
    </w:p>
    <w:p w:rsidR="00995CB6" w:rsidRPr="005D0C42" w:rsidRDefault="00995CB6" w:rsidP="005D0C42">
      <w:pPr>
        <w:ind w:firstLine="720"/>
        <w:jc w:val="center"/>
        <w:rPr>
          <w:rFonts w:ascii="Times New Roman" w:hAnsi="Times New Roman" w:cs="Times New Roman"/>
          <w:color w:val="000000"/>
          <w:sz w:val="28"/>
          <w:szCs w:val="28"/>
        </w:rPr>
      </w:pPr>
      <w:r w:rsidRPr="005D0C42">
        <w:rPr>
          <w:rFonts w:ascii="Times New Roman" w:hAnsi="Times New Roman" w:cs="Times New Roman"/>
          <w:b/>
          <w:color w:val="000000"/>
          <w:sz w:val="28"/>
          <w:szCs w:val="28"/>
        </w:rPr>
        <w:t>Звернення від депутатів Луцької міської ради</w:t>
      </w:r>
    </w:p>
    <w:p w:rsidR="00995CB6" w:rsidRDefault="00995CB6" w:rsidP="005D0C42">
      <w:pPr>
        <w:ind w:firstLine="720"/>
        <w:jc w:val="center"/>
        <w:rPr>
          <w:rFonts w:ascii="Times New Roman" w:hAnsi="Times New Roman" w:cs="Times New Roman"/>
          <w:b/>
          <w:color w:val="000000"/>
          <w:sz w:val="28"/>
          <w:szCs w:val="28"/>
          <w:highlight w:val="white"/>
        </w:rPr>
      </w:pPr>
      <w:r w:rsidRPr="005D0C42">
        <w:rPr>
          <w:rFonts w:ascii="Times New Roman" w:hAnsi="Times New Roman" w:cs="Times New Roman"/>
          <w:b/>
          <w:color w:val="000000"/>
          <w:sz w:val="28"/>
          <w:szCs w:val="28"/>
        </w:rPr>
        <w:t xml:space="preserve">щодо ратифікації </w:t>
      </w:r>
      <w:r w:rsidRPr="005D0C42">
        <w:rPr>
          <w:rFonts w:ascii="Times New Roman" w:hAnsi="Times New Roman" w:cs="Times New Roman"/>
          <w:b/>
          <w:color w:val="000000"/>
          <w:sz w:val="28"/>
          <w:szCs w:val="28"/>
          <w:highlight w:val="white"/>
        </w:rPr>
        <w:t>Конвенції Ради Європи про запобігання насильству стосовно жінок і домашньому насильству</w:t>
      </w:r>
    </w:p>
    <w:p w:rsidR="00995CB6" w:rsidRPr="005D0C42" w:rsidRDefault="00995CB6" w:rsidP="005D0C42">
      <w:pPr>
        <w:ind w:firstLine="720"/>
        <w:jc w:val="center"/>
        <w:rPr>
          <w:rFonts w:ascii="Times New Roman" w:hAnsi="Times New Roman" w:cs="Times New Roman"/>
          <w:color w:val="000000"/>
          <w:sz w:val="28"/>
          <w:szCs w:val="28"/>
        </w:rPr>
      </w:pPr>
      <w:r w:rsidRPr="005D0C42">
        <w:rPr>
          <w:rFonts w:ascii="Times New Roman" w:hAnsi="Times New Roman" w:cs="Times New Roman"/>
          <w:b/>
          <w:color w:val="000000"/>
          <w:sz w:val="28"/>
          <w:szCs w:val="28"/>
          <w:highlight w:val="white"/>
        </w:rPr>
        <w:t xml:space="preserve"> та боротьбу із цими явищами</w:t>
      </w:r>
    </w:p>
    <w:p w:rsidR="00995CB6" w:rsidRPr="005D0C42" w:rsidRDefault="00995CB6" w:rsidP="005D0C42">
      <w:pPr>
        <w:ind w:firstLine="720"/>
        <w:jc w:val="both"/>
        <w:rPr>
          <w:rFonts w:ascii="Times New Roman" w:hAnsi="Times New Roman" w:cs="Times New Roman"/>
          <w:color w:val="000000"/>
          <w:sz w:val="28"/>
          <w:szCs w:val="28"/>
        </w:rPr>
      </w:pPr>
    </w:p>
    <w:p w:rsidR="00995CB6" w:rsidRPr="005D0C42" w:rsidRDefault="00995CB6" w:rsidP="005D0C42">
      <w:pPr>
        <w:ind w:firstLine="720"/>
        <w:jc w:val="both"/>
        <w:rPr>
          <w:rFonts w:ascii="Times New Roman" w:hAnsi="Times New Roman" w:cs="Times New Roman"/>
          <w:color w:val="000000"/>
          <w:sz w:val="28"/>
          <w:szCs w:val="28"/>
        </w:rPr>
      </w:pPr>
      <w:r w:rsidRPr="005D0C42">
        <w:rPr>
          <w:rFonts w:ascii="Times New Roman" w:hAnsi="Times New Roman" w:cs="Times New Roman"/>
          <w:color w:val="000000"/>
          <w:sz w:val="28"/>
          <w:szCs w:val="28"/>
        </w:rPr>
        <w:t xml:space="preserve">Україна в сучасних міжнародних відносинах стає все більш активним та прогресуючим суб’єктом. Показовим критерієм авторитету держави на міжнародній арені є виконання одного з основних принципів міжнародного права - поваги прав людини. Починаючи із 1991 року Україна як незалежна держава приймає участь у розробці міжнародно-правових стандартів прав людини та намагається їх впроваджувати в діяльність суб’єктів публічної влади. </w:t>
      </w:r>
    </w:p>
    <w:p w:rsidR="00995CB6" w:rsidRPr="005D0C42" w:rsidRDefault="00995CB6" w:rsidP="005D0C42">
      <w:pPr>
        <w:ind w:firstLine="720"/>
        <w:jc w:val="both"/>
        <w:rPr>
          <w:rFonts w:ascii="Times New Roman" w:hAnsi="Times New Roman" w:cs="Times New Roman"/>
          <w:color w:val="000000"/>
          <w:sz w:val="28"/>
          <w:szCs w:val="28"/>
        </w:rPr>
      </w:pPr>
      <w:r w:rsidRPr="005D0C42">
        <w:rPr>
          <w:rFonts w:ascii="Times New Roman" w:hAnsi="Times New Roman" w:cs="Times New Roman"/>
          <w:color w:val="000000"/>
          <w:sz w:val="28"/>
          <w:szCs w:val="28"/>
        </w:rPr>
        <w:t xml:space="preserve">Така політика відповідає положенням статті 18 Конституції України, відповідно до якої зовнішньополітична діяльність нашої держави спрямована на забезпечення її національних інтересів і безпеки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 Крім цього, принцип відповідності міжнародним стандартам прав і свобод людини закріплений у статтях 3, 5, 6, 8, 9 Основного Закону. Курс України на інтеграцію до європейських співтовариств спонукає все більше звертати увагу на дотримання європейських стандартів прав людини. Як член Ради Європи із 1995 року, відповідно до Паризької Хартії для нової Європи від 21 листопада 1990 року, наша держава взяла на себе зобов’язання приєднатися до міжнародних стандартів у галузі прав людини, створити внутрішньодержавні гарантії їх здійснення, що ґрунтуються на відповідних міжнародно-правових нормах. Суттєвим поштовхом до підвищення рівня правової культури дотримання міжнародних стандартів прав людини стане </w:t>
      </w:r>
      <w:r w:rsidRPr="005D0C42">
        <w:rPr>
          <w:rFonts w:ascii="Times New Roman" w:hAnsi="Times New Roman" w:cs="Times New Roman"/>
          <w:b/>
          <w:color w:val="000000"/>
          <w:sz w:val="28"/>
          <w:szCs w:val="28"/>
        </w:rPr>
        <w:t>ратифікація Конвенції Ради Європи про запобігання насильству стосовно жінок і домашньому насильству та боротьбу з цими явищами</w:t>
      </w:r>
      <w:r w:rsidRPr="005D0C42">
        <w:rPr>
          <w:rFonts w:ascii="Times New Roman" w:hAnsi="Times New Roman" w:cs="Times New Roman"/>
          <w:color w:val="000000"/>
          <w:sz w:val="28"/>
          <w:szCs w:val="28"/>
        </w:rPr>
        <w:t xml:space="preserve"> (далі </w:t>
      </w:r>
      <w:r>
        <w:rPr>
          <w:rFonts w:ascii="Times New Roman" w:hAnsi="Times New Roman" w:cs="Times New Roman"/>
          <w:color w:val="000000"/>
          <w:sz w:val="28"/>
          <w:szCs w:val="28"/>
        </w:rPr>
        <w:t>–</w:t>
      </w:r>
      <w:r w:rsidRPr="005D0C42">
        <w:rPr>
          <w:rFonts w:ascii="Times New Roman" w:hAnsi="Times New Roman" w:cs="Times New Roman"/>
          <w:color w:val="000000"/>
          <w:sz w:val="28"/>
          <w:szCs w:val="28"/>
        </w:rPr>
        <w:t xml:space="preserve"> Конвенція) та</w:t>
      </w:r>
      <w:r w:rsidRPr="005D0C42">
        <w:rPr>
          <w:rFonts w:ascii="Times New Roman" w:hAnsi="Times New Roman" w:cs="Times New Roman"/>
          <w:color w:val="000000"/>
          <w:sz w:val="28"/>
          <w:szCs w:val="28"/>
          <w:highlight w:val="white"/>
        </w:rPr>
        <w:t xml:space="preserve"> запровадження в законодавство України міжнародних стандартів запобігання та протидії насильству щодо жінок і домашньому й гендерно обумовленому насильству.</w:t>
      </w:r>
    </w:p>
    <w:p w:rsidR="00995CB6" w:rsidRPr="005D0C42" w:rsidRDefault="00995CB6" w:rsidP="005D0C42">
      <w:pPr>
        <w:shd w:val="clear" w:color="auto" w:fill="FFFFFF"/>
        <w:ind w:firstLine="720"/>
        <w:jc w:val="both"/>
        <w:rPr>
          <w:rFonts w:ascii="Times New Roman" w:hAnsi="Times New Roman" w:cs="Times New Roman"/>
          <w:color w:val="000000"/>
          <w:sz w:val="28"/>
          <w:szCs w:val="28"/>
        </w:rPr>
      </w:pPr>
      <w:r w:rsidRPr="005D0C42">
        <w:rPr>
          <w:rFonts w:ascii="Times New Roman" w:hAnsi="Times New Roman" w:cs="Times New Roman"/>
          <w:color w:val="000000"/>
          <w:sz w:val="28"/>
          <w:szCs w:val="28"/>
        </w:rPr>
        <w:t>В Україні ситуація з дотриманням прав жінок не завжди відповідає міжнародним нормам, закріпленим у відповідних міжнародних зобов’язаннях. Доволі критична ситуація склалася у сфері захисту жінок від домашнього насильства, про що свідчать с</w:t>
      </w:r>
      <w:r w:rsidRPr="005D0C42">
        <w:rPr>
          <w:rFonts w:ascii="Times New Roman" w:hAnsi="Times New Roman" w:cs="Times New Roman"/>
          <w:color w:val="000000"/>
          <w:sz w:val="28"/>
          <w:szCs w:val="28"/>
          <w:highlight w:val="white"/>
        </w:rPr>
        <w:t>татистичні дані за минулий та поточний роки. Із запровадженням карантинних обмежень на території України кількість звернень щодо насильства в сім’ї зросла у 5-7 разів. У 2020 році в Україні зафіксували </w:t>
      </w:r>
      <w:r w:rsidRPr="005D0C42">
        <w:rPr>
          <w:rFonts w:ascii="Times New Roman" w:hAnsi="Times New Roman" w:cs="Times New Roman"/>
          <w:b/>
          <w:color w:val="000000"/>
          <w:sz w:val="28"/>
          <w:szCs w:val="28"/>
          <w:highlight w:val="white"/>
        </w:rPr>
        <w:t>211 362</w:t>
      </w:r>
      <w:r w:rsidRPr="005D0C42">
        <w:rPr>
          <w:rFonts w:ascii="Times New Roman" w:hAnsi="Times New Roman" w:cs="Times New Roman"/>
          <w:color w:val="000000"/>
          <w:sz w:val="28"/>
          <w:szCs w:val="28"/>
          <w:highlight w:val="white"/>
        </w:rPr>
        <w:t> звернення. З них – </w:t>
      </w:r>
      <w:r w:rsidRPr="005D0C42">
        <w:rPr>
          <w:rFonts w:ascii="Times New Roman" w:hAnsi="Times New Roman" w:cs="Times New Roman"/>
          <w:b/>
          <w:color w:val="000000"/>
          <w:sz w:val="28"/>
          <w:szCs w:val="28"/>
          <w:highlight w:val="white"/>
        </w:rPr>
        <w:t>2756</w:t>
      </w:r>
      <w:r w:rsidRPr="005D0C42">
        <w:rPr>
          <w:rFonts w:ascii="Times New Roman" w:hAnsi="Times New Roman" w:cs="Times New Roman"/>
          <w:color w:val="000000"/>
          <w:sz w:val="28"/>
          <w:szCs w:val="28"/>
          <w:highlight w:val="white"/>
        </w:rPr>
        <w:t> від дітей, </w:t>
      </w:r>
      <w:r w:rsidRPr="005D0C42">
        <w:rPr>
          <w:rFonts w:ascii="Times New Roman" w:hAnsi="Times New Roman" w:cs="Times New Roman"/>
          <w:b/>
          <w:color w:val="000000"/>
          <w:sz w:val="28"/>
          <w:szCs w:val="28"/>
          <w:highlight w:val="white"/>
        </w:rPr>
        <w:t>180 921</w:t>
      </w:r>
      <w:r w:rsidRPr="005D0C42">
        <w:rPr>
          <w:rFonts w:ascii="Times New Roman" w:hAnsi="Times New Roman" w:cs="Times New Roman"/>
          <w:color w:val="000000"/>
          <w:sz w:val="28"/>
          <w:szCs w:val="28"/>
          <w:highlight w:val="white"/>
        </w:rPr>
        <w:t> – від жінок, </w:t>
      </w:r>
      <w:r w:rsidRPr="005D0C42">
        <w:rPr>
          <w:rFonts w:ascii="Times New Roman" w:hAnsi="Times New Roman" w:cs="Times New Roman"/>
          <w:b/>
          <w:color w:val="000000"/>
          <w:sz w:val="28"/>
          <w:szCs w:val="28"/>
          <w:highlight w:val="white"/>
        </w:rPr>
        <w:t>27 676</w:t>
      </w:r>
      <w:r w:rsidRPr="005D0C42">
        <w:rPr>
          <w:rFonts w:ascii="Times New Roman" w:hAnsi="Times New Roman" w:cs="Times New Roman"/>
          <w:color w:val="000000"/>
          <w:sz w:val="28"/>
          <w:szCs w:val="28"/>
          <w:highlight w:val="white"/>
        </w:rPr>
        <w:t> – від чоловіків. Згідно з даними, викладеними в </w:t>
      </w:r>
      <w:hyperlink r:id="rId5">
        <w:r w:rsidRPr="005D0C42">
          <w:rPr>
            <w:rFonts w:ascii="Times New Roman" w:hAnsi="Times New Roman" w:cs="Times New Roman"/>
            <w:color w:val="000000"/>
            <w:sz w:val="28"/>
            <w:szCs w:val="28"/>
            <w:highlight w:val="white"/>
          </w:rPr>
          <w:t>аналітичному звіті ГО «Ла Страда-Україна»</w:t>
        </w:r>
      </w:hyperlink>
      <w:r w:rsidRPr="005D0C42">
        <w:rPr>
          <w:rFonts w:ascii="Times New Roman" w:hAnsi="Times New Roman" w:cs="Times New Roman"/>
          <w:color w:val="000000"/>
          <w:sz w:val="28"/>
          <w:szCs w:val="28"/>
          <w:highlight w:val="white"/>
        </w:rPr>
        <w:t xml:space="preserve"> у докарантинний період на Національну гарячу лінію в середньому щомісяця надходило приблизно 1500-1600 звернень. У перші три місяці 2021 року кількість дзвінків на гарячу лінію стрімко зростала (в січні 2021 року було одержано </w:t>
      </w:r>
      <w:r w:rsidRPr="005D0C42">
        <w:rPr>
          <w:rFonts w:ascii="Times New Roman" w:hAnsi="Times New Roman" w:cs="Times New Roman"/>
          <w:b/>
          <w:color w:val="000000"/>
          <w:sz w:val="28"/>
          <w:szCs w:val="28"/>
          <w:highlight w:val="white"/>
        </w:rPr>
        <w:t>11 274</w:t>
      </w:r>
      <w:r w:rsidRPr="005D0C42">
        <w:rPr>
          <w:rFonts w:ascii="Times New Roman" w:hAnsi="Times New Roman" w:cs="Times New Roman"/>
          <w:color w:val="000000"/>
          <w:sz w:val="28"/>
          <w:szCs w:val="28"/>
          <w:highlight w:val="white"/>
        </w:rPr>
        <w:t> звернення, в лютому – </w:t>
      </w:r>
      <w:r w:rsidRPr="005D0C42">
        <w:rPr>
          <w:rFonts w:ascii="Times New Roman" w:hAnsi="Times New Roman" w:cs="Times New Roman"/>
          <w:b/>
          <w:color w:val="000000"/>
          <w:sz w:val="28"/>
          <w:szCs w:val="28"/>
          <w:highlight w:val="white"/>
        </w:rPr>
        <w:t>14 265</w:t>
      </w:r>
      <w:r w:rsidRPr="005D0C42">
        <w:rPr>
          <w:rFonts w:ascii="Times New Roman" w:hAnsi="Times New Roman" w:cs="Times New Roman"/>
          <w:color w:val="000000"/>
          <w:sz w:val="28"/>
          <w:szCs w:val="28"/>
          <w:highlight w:val="white"/>
        </w:rPr>
        <w:t>, березні – </w:t>
      </w:r>
      <w:r w:rsidRPr="005D0C42">
        <w:rPr>
          <w:rFonts w:ascii="Times New Roman" w:hAnsi="Times New Roman" w:cs="Times New Roman"/>
          <w:b/>
          <w:color w:val="000000"/>
          <w:sz w:val="28"/>
          <w:szCs w:val="28"/>
          <w:highlight w:val="white"/>
        </w:rPr>
        <w:t>16 281</w:t>
      </w:r>
      <w:r w:rsidRPr="005D0C42">
        <w:rPr>
          <w:rFonts w:ascii="Times New Roman" w:hAnsi="Times New Roman" w:cs="Times New Roman"/>
          <w:color w:val="000000"/>
          <w:sz w:val="28"/>
          <w:szCs w:val="28"/>
          <w:highlight w:val="white"/>
        </w:rPr>
        <w:t>). Якщо порівняти ці цифри з тими, що були на початку 2020 року, можна побачити десятикратне зростання кількості звернень. </w:t>
      </w:r>
      <w:r w:rsidRPr="005D0C42">
        <w:rPr>
          <w:rFonts w:ascii="Times New Roman" w:hAnsi="Times New Roman" w:cs="Times New Roman"/>
          <w:sz w:val="28"/>
          <w:szCs w:val="28"/>
        </w:rPr>
        <w:t xml:space="preserve">За 9 місяців 2021 року на Національну гарячу лінію з питань попередження домашнього насильства, торгівлі людьми та ґендерної дискримінації таких звернень надійшло </w:t>
      </w:r>
      <w:r w:rsidRPr="005D0C42">
        <w:rPr>
          <w:rFonts w:ascii="Times New Roman" w:hAnsi="Times New Roman" w:cs="Times New Roman"/>
          <w:b/>
          <w:sz w:val="28"/>
          <w:szCs w:val="28"/>
        </w:rPr>
        <w:t>27 тисяч</w:t>
      </w:r>
      <w:r w:rsidRPr="005D0C42">
        <w:rPr>
          <w:rFonts w:ascii="Times New Roman" w:hAnsi="Times New Roman" w:cs="Times New Roman"/>
          <w:sz w:val="28"/>
          <w:szCs w:val="28"/>
        </w:rPr>
        <w:t>. З них – 95% від людей, які постраждали від домашнього насильства. 84% таких звернень від жінок. За різними даними через домашнє насильство в Україні щороку помирає 600 жінок!</w:t>
      </w:r>
      <w:r w:rsidRPr="005D0C42">
        <w:rPr>
          <w:rFonts w:ascii="Times New Roman" w:hAnsi="Times New Roman" w:cs="Times New Roman"/>
          <w:color w:val="000000"/>
          <w:sz w:val="28"/>
          <w:szCs w:val="28"/>
        </w:rPr>
        <w:t xml:space="preserve"> Ситуація із захистом прав постраждалих від насильства значно гірше офіційної статистики, про що стверджують більшість міжнародних організацій.</w:t>
      </w:r>
    </w:p>
    <w:p w:rsidR="00995CB6" w:rsidRPr="005D0C42" w:rsidRDefault="00995CB6" w:rsidP="005D0C42">
      <w:pPr>
        <w:shd w:val="clear" w:color="auto" w:fill="FFFFFF"/>
        <w:ind w:firstLine="720"/>
        <w:jc w:val="both"/>
        <w:rPr>
          <w:rFonts w:ascii="Times New Roman" w:hAnsi="Times New Roman" w:cs="Times New Roman"/>
          <w:color w:val="000000"/>
          <w:sz w:val="28"/>
          <w:szCs w:val="28"/>
        </w:rPr>
      </w:pPr>
      <w:r w:rsidRPr="005D0C42">
        <w:rPr>
          <w:rFonts w:ascii="Times New Roman" w:hAnsi="Times New Roman" w:cs="Times New Roman"/>
          <w:b/>
          <w:color w:val="000000"/>
          <w:sz w:val="28"/>
          <w:szCs w:val="28"/>
          <w:highlight w:val="white"/>
        </w:rPr>
        <w:t>Конвенція Ради Європи про запобігання насильству стосовно жінок і домашньому насильству та боротьбу із цими явищами</w:t>
      </w:r>
      <w:r w:rsidRPr="005D0C42">
        <w:rPr>
          <w:rFonts w:ascii="Times New Roman" w:hAnsi="Times New Roman" w:cs="Times New Roman"/>
          <w:color w:val="000000"/>
          <w:sz w:val="28"/>
          <w:szCs w:val="28"/>
          <w:highlight w:val="white"/>
        </w:rPr>
        <w:t xml:space="preserve"> – це міжнародний стандарт захисту жінок від усіх форм насильства, включаючи домашнє насильство. На сьогодні є найбільш всеосяжною міжнародною угодою у цій сфері, що використовується як основа для дій багатьох країн Європи та за її межами. </w:t>
      </w:r>
      <w:r w:rsidRPr="005D0C42">
        <w:rPr>
          <w:rFonts w:ascii="Times New Roman" w:hAnsi="Times New Roman" w:cs="Times New Roman"/>
          <w:color w:val="000000"/>
          <w:sz w:val="28"/>
          <w:szCs w:val="28"/>
        </w:rPr>
        <w:t xml:space="preserve">Крім того, Конвенція є беззаперечно прогресивним документом, що забезпечує низку комплексних заходів із запобігання та протидії насильству над жінками та домашньому насильству. Вона визнає насильство стосовно жінок порушенням прав людини, і водночас одним з видів дискримінації. </w:t>
      </w:r>
      <w:r w:rsidRPr="005D0C42">
        <w:rPr>
          <w:rFonts w:ascii="Times New Roman" w:hAnsi="Times New Roman" w:cs="Times New Roman"/>
          <w:color w:val="000000"/>
          <w:sz w:val="28"/>
          <w:szCs w:val="28"/>
          <w:highlight w:val="white"/>
        </w:rPr>
        <w:t xml:space="preserve">Цей документ, зокрема, вперше впровадив комплексну систему захисту жінок від домашнього насильства та реального покарання винних за його прояви. </w:t>
      </w:r>
    </w:p>
    <w:p w:rsidR="00995CB6" w:rsidRPr="005D0C42" w:rsidRDefault="00995CB6" w:rsidP="005D0C42">
      <w:pPr>
        <w:shd w:val="clear" w:color="auto" w:fill="FFFFFF"/>
        <w:ind w:firstLine="720"/>
        <w:jc w:val="both"/>
        <w:rPr>
          <w:rFonts w:ascii="Times New Roman" w:hAnsi="Times New Roman" w:cs="Times New Roman"/>
          <w:color w:val="000000"/>
          <w:sz w:val="28"/>
          <w:szCs w:val="28"/>
          <w:highlight w:val="white"/>
        </w:rPr>
      </w:pPr>
      <w:r w:rsidRPr="005D0C42">
        <w:rPr>
          <w:rFonts w:ascii="Times New Roman" w:hAnsi="Times New Roman" w:cs="Times New Roman"/>
          <w:color w:val="000000"/>
          <w:sz w:val="28"/>
          <w:szCs w:val="28"/>
        </w:rPr>
        <w:t>Важливо взяти до уваги, що Україна була залучена в процеси створення Конвенції та підписала її ще у 2011 році, але досі не ратифікувала. У 2020 році електронна петиція на офіційному сайті президента України із закликом ратифікувати в Україні Стамбульську конвенцію набрала потрібні 25 тисяч голосів. 5 червня 2020 року Володимир Зеленський пообіцяв винести на розгляд Верховної Ради законопроект щодо її ратифікації. На сьогодні 34 держави світу ратифікували Конвенцію та вступили у боротьбу проти насильства.</w:t>
      </w:r>
    </w:p>
    <w:p w:rsidR="00995CB6" w:rsidRPr="005D0C42" w:rsidRDefault="00995CB6" w:rsidP="005D0C42">
      <w:pPr>
        <w:shd w:val="clear" w:color="auto" w:fill="FFFFFF"/>
        <w:ind w:firstLine="720"/>
        <w:jc w:val="both"/>
        <w:rPr>
          <w:rFonts w:ascii="Times New Roman" w:hAnsi="Times New Roman" w:cs="Times New Roman"/>
          <w:color w:val="000000"/>
          <w:sz w:val="28"/>
          <w:szCs w:val="28"/>
          <w:highlight w:val="white"/>
        </w:rPr>
      </w:pPr>
      <w:r w:rsidRPr="005D0C42">
        <w:rPr>
          <w:rFonts w:ascii="Times New Roman" w:hAnsi="Times New Roman" w:cs="Times New Roman"/>
          <w:color w:val="000000"/>
          <w:sz w:val="28"/>
          <w:szCs w:val="28"/>
          <w:highlight w:val="white"/>
        </w:rPr>
        <w:t>Тому р</w:t>
      </w:r>
      <w:bookmarkStart w:id="0" w:name="_GoBack"/>
      <w:bookmarkEnd w:id="0"/>
      <w:r w:rsidRPr="005D0C42">
        <w:rPr>
          <w:rFonts w:ascii="Times New Roman" w:hAnsi="Times New Roman" w:cs="Times New Roman"/>
          <w:color w:val="000000"/>
          <w:sz w:val="28"/>
          <w:szCs w:val="28"/>
          <w:highlight w:val="white"/>
        </w:rPr>
        <w:t xml:space="preserve">атифікація Конвенції </w:t>
      </w:r>
      <w:r>
        <w:rPr>
          <w:rFonts w:ascii="Times New Roman" w:hAnsi="Times New Roman" w:cs="Times New Roman"/>
          <w:color w:val="000000"/>
          <w:sz w:val="28"/>
          <w:szCs w:val="28"/>
          <w:highlight w:val="white"/>
        </w:rPr>
        <w:t>–</w:t>
      </w:r>
      <w:r w:rsidRPr="005D0C42">
        <w:rPr>
          <w:rFonts w:ascii="Times New Roman" w:hAnsi="Times New Roman" w:cs="Times New Roman"/>
          <w:color w:val="000000"/>
          <w:sz w:val="28"/>
          <w:szCs w:val="28"/>
          <w:highlight w:val="white"/>
        </w:rPr>
        <w:t xml:space="preserve"> важливий євроінтеграційний крок, який гармонізує національні підходи та політики з практиками найуспішніших країн Європи. Ратифікована Конвенція посилить правовий захист постраждалих та їхній доступ до правосуддя. Також дозволить захистити українських громадян, які постраждали від насильства не лише в Україні, а й за кордоном.</w:t>
      </w:r>
    </w:p>
    <w:p w:rsidR="00995CB6" w:rsidRPr="005D0C42" w:rsidRDefault="00995CB6" w:rsidP="005D0C42">
      <w:pPr>
        <w:ind w:firstLine="720"/>
        <w:jc w:val="both"/>
        <w:rPr>
          <w:rFonts w:ascii="Times New Roman" w:hAnsi="Times New Roman" w:cs="Times New Roman"/>
          <w:color w:val="000000"/>
          <w:sz w:val="28"/>
          <w:szCs w:val="28"/>
        </w:rPr>
      </w:pPr>
      <w:r w:rsidRPr="005D0C42">
        <w:rPr>
          <w:rFonts w:ascii="Times New Roman" w:hAnsi="Times New Roman" w:cs="Times New Roman"/>
          <w:color w:val="000000"/>
          <w:sz w:val="28"/>
          <w:szCs w:val="28"/>
        </w:rPr>
        <w:t>Україна зробила свій вибір на користь євроінтеграційного шляху та продовжує виборювати можливість рухатися у європейському напрямку. Вважаємо, що органи державної влади мають бути послідовними на цьому шляху, тому неприпустимо зволікати з ратифікацією Конвенції.</w:t>
      </w:r>
    </w:p>
    <w:p w:rsidR="00995CB6" w:rsidRDefault="00995CB6" w:rsidP="005D0C42">
      <w:pPr>
        <w:ind w:firstLine="720"/>
        <w:jc w:val="both"/>
        <w:rPr>
          <w:rFonts w:ascii="Times New Roman" w:hAnsi="Times New Roman" w:cs="Times New Roman"/>
          <w:color w:val="000000"/>
          <w:sz w:val="28"/>
          <w:szCs w:val="28"/>
        </w:rPr>
      </w:pPr>
      <w:r w:rsidRPr="005D0C42">
        <w:rPr>
          <w:rFonts w:ascii="Times New Roman" w:hAnsi="Times New Roman" w:cs="Times New Roman"/>
          <w:color w:val="000000"/>
          <w:sz w:val="28"/>
          <w:szCs w:val="28"/>
        </w:rPr>
        <w:t xml:space="preserve">З метою захисту прав і свобод людини й громадянина, передбачених Конституцією України, звертаємося до вас із закликом вжити усіх можливих заходів щодо якнайшвидшої ратифікації Конвенції </w:t>
      </w:r>
      <w:r w:rsidRPr="005D0C42">
        <w:rPr>
          <w:rFonts w:ascii="Times New Roman" w:hAnsi="Times New Roman" w:cs="Times New Roman"/>
          <w:color w:val="000000"/>
          <w:sz w:val="28"/>
          <w:szCs w:val="28"/>
          <w:highlight w:val="white"/>
        </w:rPr>
        <w:t>Ради Європи про запобігання насильству стосовно жінок і домашньому насильству та боротьбу із цими явищами</w:t>
      </w:r>
      <w:r w:rsidRPr="005D0C42">
        <w:rPr>
          <w:rFonts w:ascii="Times New Roman" w:hAnsi="Times New Roman" w:cs="Times New Roman"/>
          <w:color w:val="000000"/>
          <w:sz w:val="28"/>
          <w:szCs w:val="28"/>
        </w:rPr>
        <w:t xml:space="preserve"> та початку імплементації її положень у національне законодавство.</w:t>
      </w:r>
    </w:p>
    <w:p w:rsidR="00995CB6" w:rsidRDefault="00995CB6" w:rsidP="005D0C42">
      <w:pPr>
        <w:ind w:firstLine="720"/>
        <w:jc w:val="both"/>
        <w:rPr>
          <w:rFonts w:ascii="Times New Roman" w:hAnsi="Times New Roman" w:cs="Times New Roman"/>
          <w:color w:val="000000"/>
          <w:sz w:val="28"/>
          <w:szCs w:val="28"/>
        </w:rPr>
      </w:pPr>
    </w:p>
    <w:p w:rsidR="00995CB6" w:rsidRDefault="00995CB6" w:rsidP="005D0C42">
      <w:pPr>
        <w:ind w:firstLine="720"/>
        <w:jc w:val="both"/>
        <w:rPr>
          <w:rFonts w:ascii="Times New Roman" w:hAnsi="Times New Roman" w:cs="Times New Roman"/>
          <w:color w:val="000000"/>
          <w:sz w:val="28"/>
          <w:szCs w:val="28"/>
        </w:rPr>
      </w:pPr>
    </w:p>
    <w:p w:rsidR="00995CB6" w:rsidRDefault="00995CB6" w:rsidP="005D0C42">
      <w:pPr>
        <w:ind w:firstLine="720"/>
        <w:jc w:val="both"/>
        <w:rPr>
          <w:rFonts w:ascii="Times New Roman" w:hAnsi="Times New Roman" w:cs="Times New Roman"/>
          <w:color w:val="000000"/>
          <w:sz w:val="28"/>
          <w:szCs w:val="28"/>
        </w:rPr>
      </w:pPr>
    </w:p>
    <w:p w:rsidR="00995CB6" w:rsidRPr="005D0C42" w:rsidRDefault="00995CB6" w:rsidP="005D0C42">
      <w:pPr>
        <w:jc w:val="both"/>
        <w:rPr>
          <w:rFonts w:ascii="Times New Roman" w:hAnsi="Times New Roman" w:cs="Times New Roman"/>
          <w:color w:val="000000"/>
          <w:sz w:val="28"/>
          <w:szCs w:val="28"/>
        </w:rPr>
      </w:pPr>
      <w:r>
        <w:rPr>
          <w:rFonts w:ascii="Times New Roman" w:hAnsi="Times New Roman" w:cs="Times New Roman"/>
          <w:color w:val="000000"/>
          <w:sz w:val="28"/>
          <w:szCs w:val="28"/>
        </w:rPr>
        <w:t>Секретар міської ради                                                                Юрій БЕЗПЯТКО</w:t>
      </w:r>
    </w:p>
    <w:sectPr w:rsidR="00995CB6" w:rsidRPr="005D0C42" w:rsidSect="005D0C42">
      <w:pgSz w:w="11906" w:h="16838"/>
      <w:pgMar w:top="709" w:right="746" w:bottom="1438" w:left="16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91433"/>
    <w:multiLevelType w:val="multilevel"/>
    <w:tmpl w:val="59A6991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325"/>
    <w:rsid w:val="00034B4A"/>
    <w:rsid w:val="00106A66"/>
    <w:rsid w:val="002676C8"/>
    <w:rsid w:val="002914EB"/>
    <w:rsid w:val="003B1325"/>
    <w:rsid w:val="0048436A"/>
    <w:rsid w:val="005D0C42"/>
    <w:rsid w:val="00623779"/>
    <w:rsid w:val="00634873"/>
    <w:rsid w:val="008C43FF"/>
    <w:rsid w:val="00995CB6"/>
    <w:rsid w:val="00A61DDF"/>
    <w:rsid w:val="00AB4993"/>
    <w:rsid w:val="00C926D4"/>
    <w:rsid w:val="00E31405"/>
    <w:rsid w:val="00E7579C"/>
    <w:rsid w:val="00F24DD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6A"/>
    <w:rPr>
      <w:sz w:val="20"/>
      <w:szCs w:val="20"/>
    </w:rPr>
  </w:style>
  <w:style w:type="paragraph" w:styleId="Heading1">
    <w:name w:val="heading 1"/>
    <w:basedOn w:val="Normal"/>
    <w:next w:val="Normal"/>
    <w:link w:val="Heading1Char"/>
    <w:uiPriority w:val="99"/>
    <w:qFormat/>
    <w:rsid w:val="0048436A"/>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48436A"/>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48436A"/>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48436A"/>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48436A"/>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48436A"/>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5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D535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D535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D535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D535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D5355"/>
    <w:rPr>
      <w:rFonts w:asciiTheme="minorHAnsi" w:eastAsiaTheme="minorEastAsia" w:hAnsiTheme="minorHAnsi" w:cstheme="minorBidi"/>
      <w:b/>
      <w:bCs/>
    </w:rPr>
  </w:style>
  <w:style w:type="table" w:customStyle="1" w:styleId="TableNormal1">
    <w:name w:val="Table Normal1"/>
    <w:uiPriority w:val="99"/>
    <w:rsid w:val="0048436A"/>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48436A"/>
    <w:pPr>
      <w:keepNext/>
      <w:keepLines/>
      <w:spacing w:before="480" w:after="120"/>
    </w:pPr>
    <w:rPr>
      <w:b/>
      <w:sz w:val="72"/>
      <w:szCs w:val="72"/>
    </w:rPr>
  </w:style>
  <w:style w:type="character" w:customStyle="1" w:styleId="TitleChar">
    <w:name w:val="Title Char"/>
    <w:basedOn w:val="DefaultParagraphFont"/>
    <w:link w:val="Title"/>
    <w:uiPriority w:val="10"/>
    <w:rsid w:val="009D535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48436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9D5355"/>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strada.org.ua/wp-content/uploads/2021/06/analitychnyj-zvit_15.06.21.pdf?fbclid=IwAR1DDvT26t8Jlc7806yYKCB76b4iraF5tVks_ec5jGp3YHe62n_-6O8KfF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3</Pages>
  <Words>4147</Words>
  <Characters>2364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 Book</dc:creator>
  <cp:keywords/>
  <dc:description/>
  <cp:lastModifiedBy>sheremeta</cp:lastModifiedBy>
  <cp:revision>9</cp:revision>
  <dcterms:created xsi:type="dcterms:W3CDTF">2021-11-17T12:11:00Z</dcterms:created>
  <dcterms:modified xsi:type="dcterms:W3CDTF">2021-11-17T14:16:00Z</dcterms:modified>
</cp:coreProperties>
</file>