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B4C51" w:rsidRPr="00414437" w:rsidRDefault="00EB4C51">
      <w:pPr>
        <w:pageBreakBefore/>
        <w:widowControl/>
        <w:ind w:left="9639"/>
        <w:rPr>
          <w:sz w:val="28"/>
          <w:szCs w:val="28"/>
        </w:rPr>
      </w:pPr>
      <w:r w:rsidRPr="00414437">
        <w:rPr>
          <w:sz w:val="28"/>
          <w:szCs w:val="28"/>
          <w:lang w:eastAsia="ru-RU"/>
        </w:rPr>
        <w:t xml:space="preserve">Додаток 2 </w:t>
      </w:r>
    </w:p>
    <w:p w:rsidR="00EB4C51" w:rsidRPr="00414437" w:rsidRDefault="00EB4C51">
      <w:pPr>
        <w:widowControl/>
        <w:ind w:left="9639"/>
        <w:rPr>
          <w:sz w:val="28"/>
          <w:szCs w:val="28"/>
        </w:rPr>
      </w:pPr>
      <w:r w:rsidRPr="00414437">
        <w:rPr>
          <w:sz w:val="28"/>
          <w:szCs w:val="28"/>
          <w:lang w:eastAsia="ru-RU"/>
        </w:rPr>
        <w:t xml:space="preserve">до Комплексної Програми розвитку міського </w:t>
      </w:r>
      <w:r w:rsidRPr="00414437">
        <w:rPr>
          <w:sz w:val="28"/>
          <w:szCs w:val="28"/>
          <w:highlight w:val="white"/>
          <w:lang w:eastAsia="ru-RU"/>
        </w:rPr>
        <w:t>пасажирського транспорту на 2020-2024 роки</w:t>
      </w:r>
    </w:p>
    <w:p w:rsidR="00EB4C51" w:rsidRPr="00414437" w:rsidRDefault="00EB4C51">
      <w:pPr>
        <w:widowControl/>
        <w:jc w:val="right"/>
        <w:rPr>
          <w:sz w:val="28"/>
          <w:szCs w:val="28"/>
        </w:rPr>
      </w:pPr>
    </w:p>
    <w:p w:rsidR="00EB4C51" w:rsidRPr="005E6ABF" w:rsidRDefault="00EB4C51">
      <w:pPr>
        <w:widowControl/>
        <w:jc w:val="center"/>
        <w:rPr>
          <w:sz w:val="28"/>
          <w:szCs w:val="28"/>
        </w:rPr>
      </w:pPr>
      <w:r w:rsidRPr="005E6ABF">
        <w:rPr>
          <w:sz w:val="28"/>
          <w:szCs w:val="28"/>
          <w:lang w:eastAsia="ru-RU"/>
        </w:rPr>
        <w:t>Напрями діяльності, завдання та заходи</w:t>
      </w:r>
    </w:p>
    <w:p w:rsidR="00EB4C51" w:rsidRDefault="00EB4C51">
      <w:pPr>
        <w:widowControl/>
        <w:jc w:val="center"/>
        <w:rPr>
          <w:sz w:val="28"/>
          <w:szCs w:val="28"/>
          <w:lang w:eastAsia="ru-RU"/>
        </w:rPr>
      </w:pPr>
      <w:r w:rsidRPr="005E6ABF">
        <w:rPr>
          <w:sz w:val="28"/>
          <w:szCs w:val="28"/>
          <w:lang w:eastAsia="ru-RU"/>
        </w:rPr>
        <w:t>Комплексної Програми розвитку міського пасажирського транспорту на 2020-2024 роки</w:t>
      </w:r>
    </w:p>
    <w:p w:rsidR="00FE3FF8" w:rsidRPr="005E6ABF" w:rsidRDefault="00FE3FF8">
      <w:pPr>
        <w:widowControl/>
        <w:jc w:val="center"/>
        <w:rPr>
          <w:sz w:val="28"/>
          <w:szCs w:val="28"/>
        </w:rPr>
      </w:pPr>
    </w:p>
    <w:p w:rsidR="00EB4C51" w:rsidRPr="005E6ABF" w:rsidRDefault="00EB4C51">
      <w:pPr>
        <w:widowControl/>
        <w:jc w:val="center"/>
        <w:rPr>
          <w:sz w:val="28"/>
          <w:szCs w:val="28"/>
          <w:lang w:eastAsia="ru-RU"/>
        </w:rPr>
      </w:pPr>
    </w:p>
    <w:tbl>
      <w:tblPr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"/>
        <w:gridCol w:w="2505"/>
        <w:gridCol w:w="3177"/>
        <w:gridCol w:w="2635"/>
        <w:gridCol w:w="1546"/>
        <w:gridCol w:w="1430"/>
        <w:gridCol w:w="1170"/>
        <w:gridCol w:w="2619"/>
      </w:tblGrid>
      <w:tr w:rsidR="00EB4C51" w:rsidRPr="00FE3FF8" w:rsidTr="00F64486">
        <w:trPr>
          <w:jc w:val="center"/>
        </w:trPr>
        <w:tc>
          <w:tcPr>
            <w:tcW w:w="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rPr>
                <w:rStyle w:val="rvts64"/>
              </w:rPr>
              <w:t>№</w:t>
            </w:r>
          </w:p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rPr>
                <w:rStyle w:val="rvts64"/>
              </w:rPr>
              <w:t>з/п</w:t>
            </w:r>
          </w:p>
        </w:tc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t xml:space="preserve">Напрям </w:t>
            </w:r>
          </w:p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t>діяльності</w:t>
            </w:r>
          </w:p>
        </w:tc>
        <w:tc>
          <w:tcPr>
            <w:tcW w:w="3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B4C51" w:rsidRPr="00FE3FF8" w:rsidRDefault="00EB4C51">
            <w:pPr>
              <w:pStyle w:val="21"/>
              <w:spacing w:line="240" w:lineRule="auto"/>
              <w:jc w:val="both"/>
            </w:pPr>
            <w:r w:rsidRPr="00FE3FF8">
              <w:t>Перелік заходів Програми</w:t>
            </w:r>
          </w:p>
        </w:tc>
        <w:tc>
          <w:tcPr>
            <w:tcW w:w="2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rPr>
                <w:rStyle w:val="rvts64"/>
              </w:rPr>
              <w:t>Виконавці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rPr>
                <w:rStyle w:val="rvts64"/>
              </w:rPr>
              <w:t>Термін</w:t>
            </w:r>
          </w:p>
          <w:p w:rsidR="00EB4C51" w:rsidRPr="00FE3FF8" w:rsidRDefault="00F64486">
            <w:pPr>
              <w:pStyle w:val="21"/>
              <w:spacing w:line="240" w:lineRule="auto"/>
              <w:jc w:val="center"/>
            </w:pPr>
            <w:r>
              <w:rPr>
                <w:rStyle w:val="rvts64"/>
              </w:rPr>
              <w:t>в</w:t>
            </w:r>
            <w:r w:rsidR="00EB4C51" w:rsidRPr="00FE3FF8">
              <w:rPr>
                <w:rStyle w:val="rvts64"/>
              </w:rPr>
              <w:t>иконання</w:t>
            </w:r>
            <w:r w:rsidR="007B541B" w:rsidRPr="00FE3FF8">
              <w:rPr>
                <w:rStyle w:val="rvts64"/>
              </w:rPr>
              <w:t>, роки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t xml:space="preserve">Джерела та обсяги фінансування, </w:t>
            </w:r>
          </w:p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t>тис. грн</w:t>
            </w:r>
          </w:p>
        </w:tc>
        <w:tc>
          <w:tcPr>
            <w:tcW w:w="2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rPr>
                <w:lang w:eastAsia="ru-RU"/>
              </w:rPr>
              <w:t>Очікуваний результат</w:t>
            </w:r>
          </w:p>
        </w:tc>
      </w:tr>
      <w:tr w:rsidR="00EB4C51" w:rsidRPr="00FE3FF8" w:rsidTr="00F64486">
        <w:trPr>
          <w:jc w:val="center"/>
        </w:trPr>
        <w:tc>
          <w:tcPr>
            <w:tcW w:w="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B4C51" w:rsidRPr="00FE3FF8" w:rsidRDefault="00EB4C51">
            <w:pPr>
              <w:pStyle w:val="21"/>
              <w:snapToGrid w:val="0"/>
              <w:spacing w:line="240" w:lineRule="auto"/>
            </w:pPr>
          </w:p>
        </w:tc>
        <w:tc>
          <w:tcPr>
            <w:tcW w:w="2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3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both"/>
            </w:pPr>
          </w:p>
        </w:tc>
        <w:tc>
          <w:tcPr>
            <w:tcW w:w="2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1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B4C51" w:rsidRPr="00FE3FF8" w:rsidRDefault="00EB4C51">
            <w:pPr>
              <w:pStyle w:val="21"/>
              <w:spacing w:line="240" w:lineRule="auto"/>
              <w:ind w:left="-21" w:right="-51"/>
              <w:jc w:val="center"/>
            </w:pPr>
            <w:r w:rsidRPr="00FE3FF8">
              <w:t>бюджет міської територіальної громади</w:t>
            </w: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t>власні кош</w:t>
            </w:r>
            <w:bookmarkStart w:id="0" w:name="_GoBack"/>
            <w:bookmarkEnd w:id="0"/>
            <w:r w:rsidRPr="00FE3FF8">
              <w:t>ти</w:t>
            </w:r>
          </w:p>
        </w:tc>
        <w:tc>
          <w:tcPr>
            <w:tcW w:w="2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</w:tr>
      <w:tr w:rsidR="00EB4C51" w:rsidRPr="00FE3FF8" w:rsidTr="00F64486">
        <w:trPr>
          <w:jc w:val="center"/>
        </w:trPr>
        <w:tc>
          <w:tcPr>
            <w:tcW w:w="606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t>4.</w:t>
            </w:r>
          </w:p>
        </w:tc>
        <w:tc>
          <w:tcPr>
            <w:tcW w:w="250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 w:rsidP="006C6BDF">
            <w:pPr>
              <w:pStyle w:val="21"/>
              <w:snapToGrid w:val="0"/>
              <w:spacing w:line="240" w:lineRule="auto"/>
              <w:jc w:val="center"/>
            </w:pPr>
            <w:r w:rsidRPr="00FE3FF8">
              <w:t>Виконання обсягів транспортної роботи</w:t>
            </w:r>
          </w:p>
        </w:tc>
        <w:tc>
          <w:tcPr>
            <w:tcW w:w="317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 w:rsidP="006C6BDF">
            <w:pPr>
              <w:pStyle w:val="21"/>
              <w:snapToGrid w:val="0"/>
              <w:spacing w:line="240" w:lineRule="auto"/>
              <w:jc w:val="center"/>
            </w:pPr>
            <w:r w:rsidRPr="00FE3FF8">
              <w:t>Оплата замовником фактично виконаних обсягів робіт за вирахуванням доходу від пасажирських перевезень та інших доходів</w:t>
            </w:r>
          </w:p>
        </w:tc>
        <w:tc>
          <w:tcPr>
            <w:tcW w:w="263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3FF8">
              <w:rPr>
                <w:sz w:val="28"/>
                <w:szCs w:val="28"/>
              </w:rPr>
              <w:t>Виконавчі органи Луцької міської ради, КП «Луцьке підприємство електротранспорту»</w:t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rPr>
                <w:rStyle w:val="211pt"/>
                <w:sz w:val="28"/>
                <w:szCs w:val="28"/>
              </w:rPr>
              <w:t>2020</w:t>
            </w:r>
          </w:p>
        </w:tc>
        <w:tc>
          <w:tcPr>
            <w:tcW w:w="1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t>120 000,0</w:t>
            </w: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61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4C51" w:rsidRPr="00FE3FF8" w:rsidRDefault="00AF7DAD" w:rsidP="00007E96">
            <w:pPr>
              <w:pStyle w:val="21"/>
              <w:snapToGrid w:val="0"/>
              <w:spacing w:line="240" w:lineRule="auto"/>
              <w:jc w:val="center"/>
            </w:pPr>
            <w:r w:rsidRPr="00FE3FF8">
              <w:rPr>
                <w:rFonts w:eastAsia="Times New Roman"/>
                <w:lang w:eastAsia="ru-RU"/>
              </w:rPr>
              <w:t>М</w:t>
            </w:r>
            <w:r w:rsidR="00EB4C51" w:rsidRPr="00FE3FF8">
              <w:rPr>
                <w:rFonts w:eastAsia="Times New Roman"/>
                <w:lang w:eastAsia="ru-RU"/>
              </w:rPr>
              <w:t>аксимально підвищити прозорість та точність фактично наданих послуг</w:t>
            </w:r>
          </w:p>
        </w:tc>
      </w:tr>
      <w:tr w:rsidR="00EB4C51" w:rsidRPr="00FE3FF8" w:rsidTr="00F64486">
        <w:trPr>
          <w:jc w:val="center"/>
        </w:trPr>
        <w:tc>
          <w:tcPr>
            <w:tcW w:w="6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50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 w:rsidP="006C6BDF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317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 w:rsidP="006C6BDF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6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rPr>
                <w:rStyle w:val="211pt"/>
                <w:sz w:val="28"/>
                <w:szCs w:val="28"/>
              </w:rPr>
              <w:t xml:space="preserve">2021 </w:t>
            </w:r>
          </w:p>
        </w:tc>
        <w:tc>
          <w:tcPr>
            <w:tcW w:w="1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t>150 000,0</w:t>
            </w: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4C51" w:rsidRPr="00FE3FF8" w:rsidRDefault="00EB4C51" w:rsidP="00007E96">
            <w:pPr>
              <w:pStyle w:val="21"/>
              <w:snapToGrid w:val="0"/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B4C51" w:rsidRPr="00FE3FF8" w:rsidTr="00F64486">
        <w:trPr>
          <w:jc w:val="center"/>
        </w:trPr>
        <w:tc>
          <w:tcPr>
            <w:tcW w:w="6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 w:rsidP="006C6BDF">
            <w:pPr>
              <w:pStyle w:val="21"/>
              <w:snapToGrid w:val="0"/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7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 w:rsidP="006C6BDF">
            <w:pPr>
              <w:pStyle w:val="21"/>
              <w:snapToGrid w:val="0"/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rPr>
                <w:rStyle w:val="211pt"/>
                <w:sz w:val="28"/>
                <w:szCs w:val="28"/>
              </w:rPr>
              <w:t xml:space="preserve">2022 </w:t>
            </w:r>
          </w:p>
        </w:tc>
        <w:tc>
          <w:tcPr>
            <w:tcW w:w="1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 w:rsidP="00AC3E9D">
            <w:pPr>
              <w:pStyle w:val="21"/>
              <w:spacing w:line="240" w:lineRule="auto"/>
              <w:jc w:val="center"/>
            </w:pPr>
            <w:r w:rsidRPr="00FE3FF8">
              <w:t>1</w:t>
            </w:r>
            <w:r w:rsidR="00AC3E9D" w:rsidRPr="00FE3FF8">
              <w:t>4</w:t>
            </w:r>
            <w:r w:rsidRPr="00FE3FF8">
              <w:t>0 000,0</w:t>
            </w: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4C51" w:rsidRPr="00FE3FF8" w:rsidRDefault="00EB4C51" w:rsidP="00007E96">
            <w:pPr>
              <w:pStyle w:val="21"/>
              <w:snapToGrid w:val="0"/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B4C51" w:rsidRPr="00FE3FF8" w:rsidTr="00F64486">
        <w:trPr>
          <w:jc w:val="center"/>
        </w:trPr>
        <w:tc>
          <w:tcPr>
            <w:tcW w:w="6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 w:rsidP="006C6BDF">
            <w:pPr>
              <w:pStyle w:val="21"/>
              <w:snapToGrid w:val="0"/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7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 w:rsidP="006C6BDF">
            <w:pPr>
              <w:pStyle w:val="21"/>
              <w:snapToGrid w:val="0"/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rPr>
                <w:rStyle w:val="211pt"/>
                <w:sz w:val="28"/>
                <w:szCs w:val="28"/>
              </w:rPr>
              <w:t xml:space="preserve">2023 </w:t>
            </w:r>
          </w:p>
        </w:tc>
        <w:tc>
          <w:tcPr>
            <w:tcW w:w="1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t>150 000,0</w:t>
            </w: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4C51" w:rsidRPr="00FE3FF8" w:rsidRDefault="00EB4C51" w:rsidP="00007E96">
            <w:pPr>
              <w:pStyle w:val="21"/>
              <w:snapToGrid w:val="0"/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B4C51" w:rsidRPr="00FE3FF8" w:rsidTr="00F64486">
        <w:trPr>
          <w:jc w:val="center"/>
        </w:trPr>
        <w:tc>
          <w:tcPr>
            <w:tcW w:w="6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 w:rsidP="006C6BDF">
            <w:pPr>
              <w:pStyle w:val="21"/>
              <w:snapToGrid w:val="0"/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7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 w:rsidP="006C6BDF">
            <w:pPr>
              <w:pStyle w:val="21"/>
              <w:snapToGrid w:val="0"/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rPr>
                <w:rStyle w:val="211pt"/>
                <w:sz w:val="28"/>
                <w:szCs w:val="28"/>
              </w:rPr>
              <w:t xml:space="preserve">2024 </w:t>
            </w:r>
          </w:p>
        </w:tc>
        <w:tc>
          <w:tcPr>
            <w:tcW w:w="1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t>150 000,0</w:t>
            </w: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4C51" w:rsidRPr="00FE3FF8" w:rsidRDefault="00EB4C51" w:rsidP="00007E96">
            <w:pPr>
              <w:pStyle w:val="21"/>
              <w:snapToGrid w:val="0"/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B4C51" w:rsidRPr="00FE3FF8" w:rsidTr="00F64486">
        <w:trPr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t>6.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C51" w:rsidRPr="00FE3FF8" w:rsidRDefault="00EB4C51" w:rsidP="006C6BDF">
            <w:pPr>
              <w:pStyle w:val="21"/>
              <w:spacing w:line="240" w:lineRule="auto"/>
              <w:jc w:val="center"/>
            </w:pPr>
            <w:r w:rsidRPr="00FE3FF8">
              <w:t xml:space="preserve">Погашення кредиторської заборгованості з обов’язкових платежів минулих </w:t>
            </w:r>
            <w:r w:rsidRPr="00FE3FF8">
              <w:lastRenderedPageBreak/>
              <w:t>періодів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C51" w:rsidRPr="00FE3FF8" w:rsidRDefault="00EB4C51" w:rsidP="006C6BDF">
            <w:pPr>
              <w:pStyle w:val="21"/>
              <w:spacing w:line="240" w:lineRule="auto"/>
              <w:jc w:val="center"/>
            </w:pPr>
            <w:r w:rsidRPr="00FE3FF8">
              <w:lastRenderedPageBreak/>
              <w:t>Сплата Єдиного соціального внеску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t xml:space="preserve">Виконавчі органи Луцької міської ради, </w:t>
            </w:r>
          </w:p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rPr>
                <w:rStyle w:val="211pt"/>
                <w:sz w:val="28"/>
                <w:szCs w:val="28"/>
                <w:lang w:eastAsia="ru-RU"/>
              </w:rPr>
              <w:t>КП «</w:t>
            </w:r>
            <w:r w:rsidRPr="00FE3FF8">
              <w:rPr>
                <w:rStyle w:val="2"/>
                <w:lang w:eastAsia="ru-RU"/>
              </w:rPr>
              <w:t>Луцьке підприємство електротранспорту</w:t>
            </w:r>
            <w:r w:rsidRPr="00FE3FF8">
              <w:rPr>
                <w:rStyle w:val="211pt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rPr>
                <w:rStyle w:val="211pt"/>
                <w:sz w:val="28"/>
                <w:szCs w:val="28"/>
              </w:rPr>
              <w:t xml:space="preserve">2020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t>2 000,0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FF8" w:rsidRPr="00FE3FF8" w:rsidRDefault="00AF7DAD" w:rsidP="00FE3FF8">
            <w:pPr>
              <w:pStyle w:val="21"/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E3FF8">
              <w:rPr>
                <w:rFonts w:eastAsia="Times New Roman"/>
                <w:lang w:eastAsia="ru-RU"/>
              </w:rPr>
              <w:t>П</w:t>
            </w:r>
            <w:r w:rsidR="00EB4C51" w:rsidRPr="00FE3FF8">
              <w:rPr>
                <w:rFonts w:eastAsia="Times New Roman"/>
                <w:lang w:eastAsia="ru-RU"/>
              </w:rPr>
              <w:t>ідвищити прибутковість</w:t>
            </w:r>
            <w:r w:rsidRPr="00FE3FF8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EB4C51" w:rsidRPr="00FE3FF8" w:rsidTr="00F64486">
        <w:trPr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</w:pPr>
          </w:p>
        </w:tc>
        <w:tc>
          <w:tcPr>
            <w:tcW w:w="317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 w:rsidP="006C6BDF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rPr>
                <w:rStyle w:val="211pt"/>
                <w:sz w:val="28"/>
                <w:szCs w:val="28"/>
              </w:rPr>
              <w:t xml:space="preserve">2021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t>2 000,0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</w:tr>
      <w:tr w:rsidR="00EB4C51" w:rsidRPr="00FE3FF8" w:rsidTr="00F64486">
        <w:trPr>
          <w:jc w:val="center"/>
        </w:trPr>
        <w:tc>
          <w:tcPr>
            <w:tcW w:w="6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50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</w:pPr>
          </w:p>
        </w:tc>
        <w:tc>
          <w:tcPr>
            <w:tcW w:w="317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 w:rsidP="006C6BDF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6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rPr>
                <w:rStyle w:val="211pt"/>
                <w:sz w:val="28"/>
                <w:szCs w:val="28"/>
              </w:rPr>
              <w:t xml:space="preserve">2022 </w:t>
            </w:r>
          </w:p>
        </w:tc>
        <w:tc>
          <w:tcPr>
            <w:tcW w:w="1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23395">
            <w:pPr>
              <w:pStyle w:val="21"/>
              <w:spacing w:line="240" w:lineRule="auto"/>
              <w:jc w:val="center"/>
            </w:pPr>
            <w:r w:rsidRPr="00FE3FF8">
              <w:t>6</w:t>
            </w:r>
            <w:r w:rsidR="00EB4C51" w:rsidRPr="00FE3FF8">
              <w:t> 500,0</w:t>
            </w: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</w:tr>
      <w:tr w:rsidR="00EB4C51" w:rsidRPr="00FE3FF8" w:rsidTr="00F64486">
        <w:trPr>
          <w:jc w:val="center"/>
        </w:trPr>
        <w:tc>
          <w:tcPr>
            <w:tcW w:w="6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50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</w:pPr>
          </w:p>
        </w:tc>
        <w:tc>
          <w:tcPr>
            <w:tcW w:w="317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 w:rsidP="006C6BDF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6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rPr>
                <w:rStyle w:val="211pt"/>
                <w:sz w:val="28"/>
                <w:szCs w:val="28"/>
              </w:rPr>
              <w:t>2023</w:t>
            </w:r>
          </w:p>
        </w:tc>
        <w:tc>
          <w:tcPr>
            <w:tcW w:w="1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</w:tr>
      <w:tr w:rsidR="00EB4C51" w:rsidRPr="00FE3FF8" w:rsidTr="00F64486">
        <w:trPr>
          <w:jc w:val="center"/>
        </w:trPr>
        <w:tc>
          <w:tcPr>
            <w:tcW w:w="6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50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</w:pPr>
          </w:p>
        </w:tc>
        <w:tc>
          <w:tcPr>
            <w:tcW w:w="317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 w:rsidP="006C6BDF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6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rPr>
                <w:rStyle w:val="211pt"/>
                <w:sz w:val="28"/>
                <w:szCs w:val="28"/>
              </w:rPr>
              <w:t xml:space="preserve">2024 </w:t>
            </w:r>
          </w:p>
        </w:tc>
        <w:tc>
          <w:tcPr>
            <w:tcW w:w="1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</w:tr>
      <w:tr w:rsidR="00EB4C51" w:rsidRPr="00FE3FF8" w:rsidTr="00F64486">
        <w:trPr>
          <w:jc w:val="center"/>
        </w:trPr>
        <w:tc>
          <w:tcPr>
            <w:tcW w:w="6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50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</w:pPr>
          </w:p>
        </w:tc>
        <w:tc>
          <w:tcPr>
            <w:tcW w:w="317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 w:rsidP="006C6BDF">
            <w:pPr>
              <w:pStyle w:val="21"/>
              <w:spacing w:line="240" w:lineRule="auto"/>
              <w:jc w:val="center"/>
            </w:pPr>
            <w:r w:rsidRPr="00FE3FF8">
              <w:t>Сплата Податку з доходу фізичних осіб</w:t>
            </w:r>
          </w:p>
        </w:tc>
        <w:tc>
          <w:tcPr>
            <w:tcW w:w="26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rPr>
                <w:rStyle w:val="211pt"/>
                <w:sz w:val="28"/>
                <w:szCs w:val="28"/>
              </w:rPr>
              <w:t xml:space="preserve">2020 </w:t>
            </w:r>
          </w:p>
        </w:tc>
        <w:tc>
          <w:tcPr>
            <w:tcW w:w="1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t>4 750,0</w:t>
            </w: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</w:tr>
      <w:tr w:rsidR="00EB4C51" w:rsidRPr="00FE3FF8" w:rsidTr="00F64486">
        <w:trPr>
          <w:jc w:val="center"/>
        </w:trPr>
        <w:tc>
          <w:tcPr>
            <w:tcW w:w="6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50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</w:pPr>
          </w:p>
        </w:tc>
        <w:tc>
          <w:tcPr>
            <w:tcW w:w="317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both"/>
            </w:pPr>
          </w:p>
        </w:tc>
        <w:tc>
          <w:tcPr>
            <w:tcW w:w="26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rPr>
                <w:rStyle w:val="211pt"/>
                <w:sz w:val="28"/>
                <w:szCs w:val="28"/>
              </w:rPr>
              <w:t xml:space="preserve">2021 </w:t>
            </w:r>
          </w:p>
        </w:tc>
        <w:tc>
          <w:tcPr>
            <w:tcW w:w="1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t>1 500,0</w:t>
            </w: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</w:tr>
      <w:tr w:rsidR="00EB4C51" w:rsidRPr="00FE3FF8" w:rsidTr="00F64486">
        <w:trPr>
          <w:jc w:val="center"/>
        </w:trPr>
        <w:tc>
          <w:tcPr>
            <w:tcW w:w="6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50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</w:pPr>
          </w:p>
        </w:tc>
        <w:tc>
          <w:tcPr>
            <w:tcW w:w="317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both"/>
            </w:pPr>
          </w:p>
        </w:tc>
        <w:tc>
          <w:tcPr>
            <w:tcW w:w="26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rPr>
                <w:rStyle w:val="211pt"/>
                <w:sz w:val="28"/>
                <w:szCs w:val="28"/>
              </w:rPr>
              <w:t xml:space="preserve">2022 </w:t>
            </w:r>
          </w:p>
        </w:tc>
        <w:tc>
          <w:tcPr>
            <w:tcW w:w="1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23395">
            <w:pPr>
              <w:pStyle w:val="21"/>
              <w:spacing w:line="240" w:lineRule="auto"/>
              <w:jc w:val="center"/>
            </w:pPr>
            <w:r w:rsidRPr="00FE3FF8">
              <w:t>6</w:t>
            </w:r>
            <w:r w:rsidR="00EB4C51" w:rsidRPr="00FE3FF8">
              <w:t> 000,0</w:t>
            </w: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</w:tr>
      <w:tr w:rsidR="00EB4C51" w:rsidRPr="00FE3FF8" w:rsidTr="00F64486">
        <w:trPr>
          <w:jc w:val="center"/>
        </w:trPr>
        <w:tc>
          <w:tcPr>
            <w:tcW w:w="6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50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</w:pPr>
          </w:p>
        </w:tc>
        <w:tc>
          <w:tcPr>
            <w:tcW w:w="317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both"/>
            </w:pPr>
          </w:p>
        </w:tc>
        <w:tc>
          <w:tcPr>
            <w:tcW w:w="26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rPr>
                <w:rStyle w:val="211pt"/>
                <w:sz w:val="28"/>
                <w:szCs w:val="28"/>
              </w:rPr>
              <w:t xml:space="preserve">2023 </w:t>
            </w:r>
          </w:p>
        </w:tc>
        <w:tc>
          <w:tcPr>
            <w:tcW w:w="1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</w:tr>
      <w:tr w:rsidR="00EB4C51" w:rsidRPr="00FE3FF8" w:rsidTr="00F64486">
        <w:trPr>
          <w:jc w:val="center"/>
        </w:trPr>
        <w:tc>
          <w:tcPr>
            <w:tcW w:w="606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505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</w:pPr>
          </w:p>
        </w:tc>
        <w:tc>
          <w:tcPr>
            <w:tcW w:w="3177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both"/>
            </w:pPr>
          </w:p>
        </w:tc>
        <w:tc>
          <w:tcPr>
            <w:tcW w:w="2635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1546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EB4C51" w:rsidRPr="00FE3FF8" w:rsidRDefault="00EB4C51">
            <w:pPr>
              <w:pStyle w:val="21"/>
              <w:spacing w:line="240" w:lineRule="auto"/>
              <w:jc w:val="center"/>
            </w:pPr>
            <w:r w:rsidRPr="00FE3FF8">
              <w:rPr>
                <w:rStyle w:val="211pt"/>
                <w:sz w:val="28"/>
                <w:szCs w:val="28"/>
              </w:rPr>
              <w:t xml:space="preserve">2024 </w:t>
            </w:r>
          </w:p>
        </w:tc>
        <w:tc>
          <w:tcPr>
            <w:tcW w:w="1430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1170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  <w:tc>
          <w:tcPr>
            <w:tcW w:w="261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B4C51" w:rsidRPr="00FE3FF8" w:rsidRDefault="00EB4C51">
            <w:pPr>
              <w:pStyle w:val="21"/>
              <w:snapToGrid w:val="0"/>
              <w:spacing w:line="240" w:lineRule="auto"/>
              <w:jc w:val="center"/>
            </w:pPr>
          </w:p>
        </w:tc>
      </w:tr>
    </w:tbl>
    <w:p w:rsidR="005E6ABF" w:rsidRPr="00FE3FF8" w:rsidRDefault="005E6ABF" w:rsidP="00FE3FF8">
      <w:pPr>
        <w:widowControl/>
        <w:rPr>
          <w:sz w:val="28"/>
          <w:szCs w:val="28"/>
        </w:rPr>
      </w:pPr>
    </w:p>
    <w:sectPr w:rsidR="005E6ABF" w:rsidRPr="00FE3FF8">
      <w:headerReference w:type="even" r:id="rId6"/>
      <w:headerReference w:type="default" r:id="rId7"/>
      <w:headerReference w:type="first" r:id="rId8"/>
      <w:pgSz w:w="16838" w:h="11906" w:orient="landscape"/>
      <w:pgMar w:top="2041" w:right="567" w:bottom="567" w:left="567" w:header="198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146" w:rsidRDefault="002C1146">
      <w:r>
        <w:separator/>
      </w:r>
    </w:p>
  </w:endnote>
  <w:endnote w:type="continuationSeparator" w:id="0">
    <w:p w:rsidR="002C1146" w:rsidRDefault="002C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146" w:rsidRDefault="002C1146">
      <w:r>
        <w:separator/>
      </w:r>
    </w:p>
  </w:footnote>
  <w:footnote w:type="continuationSeparator" w:id="0">
    <w:p w:rsidR="002C1146" w:rsidRDefault="002C1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C51" w:rsidRDefault="00EB4C5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C51" w:rsidRDefault="00EB4C5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F64486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C51" w:rsidRDefault="00EB4C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31"/>
    <w:rsid w:val="00007E96"/>
    <w:rsid w:val="00237C78"/>
    <w:rsid w:val="002641A2"/>
    <w:rsid w:val="00271D86"/>
    <w:rsid w:val="002C1146"/>
    <w:rsid w:val="003A7B7C"/>
    <w:rsid w:val="00414437"/>
    <w:rsid w:val="00447B31"/>
    <w:rsid w:val="005E6ABF"/>
    <w:rsid w:val="006311E7"/>
    <w:rsid w:val="006C6BDF"/>
    <w:rsid w:val="006D4135"/>
    <w:rsid w:val="007243CF"/>
    <w:rsid w:val="007A38B0"/>
    <w:rsid w:val="007A5266"/>
    <w:rsid w:val="007B541B"/>
    <w:rsid w:val="00A00ACF"/>
    <w:rsid w:val="00A12F45"/>
    <w:rsid w:val="00AC3E9D"/>
    <w:rsid w:val="00AF7DAD"/>
    <w:rsid w:val="00B40774"/>
    <w:rsid w:val="00BD184D"/>
    <w:rsid w:val="00BE2C1F"/>
    <w:rsid w:val="00D035F5"/>
    <w:rsid w:val="00DC0704"/>
    <w:rsid w:val="00E23395"/>
    <w:rsid w:val="00EB4C51"/>
    <w:rsid w:val="00EC0B17"/>
    <w:rsid w:val="00EE5FBC"/>
    <w:rsid w:val="00F55B06"/>
    <w:rsid w:val="00F64486"/>
    <w:rsid w:val="00FE3BA9"/>
    <w:rsid w:val="00F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1457F5"/>
  <w15:chartTrackingRefBased/>
  <w15:docId w15:val="{5B3F450A-A702-455E-A6C5-D214D1E6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3">
    <w:name w:val="Шрифт абзацу за замовчуванням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Заголовок №1_"/>
    <w:rPr>
      <w:rFonts w:ascii="Times New Roman" w:hAnsi="Times New Roman" w:cs="Times New Roman"/>
      <w:b/>
      <w:bCs/>
      <w:sz w:val="48"/>
      <w:szCs w:val="48"/>
      <w:u w:val="none"/>
    </w:rPr>
  </w:style>
  <w:style w:type="character" w:customStyle="1" w:styleId="6">
    <w:name w:val="Основной текст (6)"/>
    <w:rPr>
      <w:rFonts w:ascii="Times New Roman" w:hAnsi="Times New Roman" w:cs="Times New Roman"/>
      <w:sz w:val="36"/>
      <w:szCs w:val="36"/>
      <w:u w:val="none"/>
    </w:rPr>
  </w:style>
  <w:style w:type="character" w:customStyle="1" w:styleId="rvts64">
    <w:name w:val="rvts64"/>
  </w:style>
  <w:style w:type="character" w:customStyle="1" w:styleId="211pt">
    <w:name w:val="Основной текст (2) + 11 pt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rPr>
      <w:rFonts w:ascii="Times New Roman" w:hAnsi="Times New Roman" w:cs="Times New Roman"/>
      <w:sz w:val="28"/>
      <w:szCs w:val="28"/>
      <w:u w:val="none"/>
    </w:rPr>
  </w:style>
  <w:style w:type="character" w:customStyle="1" w:styleId="a4">
    <w:name w:val="Нижний колонтитул Знак"/>
    <w:rPr>
      <w:rFonts w:eastAsia="Andale Sans UI"/>
      <w:kern w:val="2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pPr>
      <w:suppressLineNumbers/>
    </w:pPr>
    <w:rPr>
      <w:rFonts w:cs="Tahoma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Назва об'єкта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a">
    <w:name w:val="Вміст таблиці"/>
    <w:basedOn w:val="a"/>
    <w:pPr>
      <w:suppressLineNumbers/>
    </w:pPr>
  </w:style>
  <w:style w:type="paragraph" w:styleId="ab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c">
    <w:name w:val="Заголовок таблиці"/>
    <w:basedOn w:val="aa"/>
    <w:pPr>
      <w:jc w:val="center"/>
    </w:pPr>
    <w:rPr>
      <w:b/>
      <w:bCs/>
    </w:rPr>
  </w:style>
  <w:style w:type="paragraph" w:customStyle="1" w:styleId="13">
    <w:name w:val="Заголовок №1"/>
    <w:basedOn w:val="a"/>
    <w:pPr>
      <w:shd w:val="clear" w:color="auto" w:fill="FFFFFF"/>
      <w:spacing w:line="1190" w:lineRule="exact"/>
      <w:jc w:val="center"/>
    </w:pPr>
    <w:rPr>
      <w:b/>
      <w:bCs/>
      <w:sz w:val="48"/>
      <w:szCs w:val="48"/>
    </w:rPr>
  </w:style>
  <w:style w:type="paragraph" w:customStyle="1" w:styleId="21">
    <w:name w:val="Основной текст (2)1"/>
    <w:basedOn w:val="a"/>
    <w:pPr>
      <w:shd w:val="clear" w:color="auto" w:fill="FFFFFF"/>
      <w:spacing w:line="240" w:lineRule="atLeast"/>
    </w:pPr>
    <w:rPr>
      <w:sz w:val="28"/>
      <w:szCs w:val="28"/>
    </w:rPr>
  </w:style>
  <w:style w:type="paragraph" w:styleId="ad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cp:lastModifiedBy>Гвоздецька Вікторія Миколаївна</cp:lastModifiedBy>
  <cp:revision>8</cp:revision>
  <cp:lastPrinted>1995-11-21T15:41:00Z</cp:lastPrinted>
  <dcterms:created xsi:type="dcterms:W3CDTF">2022-02-07T08:46:00Z</dcterms:created>
  <dcterms:modified xsi:type="dcterms:W3CDTF">2022-02-07T09:42:00Z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