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C6" w:rsidRDefault="0006174D">
      <w:pPr>
        <w:ind w:left="11339"/>
      </w:pPr>
      <w:r>
        <w:t>Додаток</w:t>
      </w:r>
    </w:p>
    <w:p w:rsidR="009407C6" w:rsidRDefault="0006174D">
      <w:pPr>
        <w:ind w:left="11339"/>
      </w:pPr>
      <w:r>
        <w:t xml:space="preserve">до рішення міської ради </w:t>
      </w:r>
    </w:p>
    <w:p w:rsidR="009407C6" w:rsidRDefault="0006174D">
      <w:pPr>
        <w:ind w:left="11339"/>
      </w:pPr>
      <w:r>
        <w:t>від ___________ № ______</w:t>
      </w:r>
    </w:p>
    <w:p w:rsidR="009407C6" w:rsidRDefault="009407C6"/>
    <w:p w:rsidR="009407C6" w:rsidRDefault="0006174D">
      <w:pPr>
        <w:jc w:val="center"/>
      </w:pPr>
      <w:r>
        <w:t xml:space="preserve">Перелік мереж зовнішнього освітлення, що передаються на </w:t>
      </w:r>
      <w:proofErr w:type="spellStart"/>
      <w:r>
        <w:t>балансоутримання</w:t>
      </w:r>
      <w:proofErr w:type="spellEnd"/>
      <w:r>
        <w:t xml:space="preserve"> </w:t>
      </w:r>
    </w:p>
    <w:p w:rsidR="009407C6" w:rsidRDefault="0006174D">
      <w:pPr>
        <w:jc w:val="center"/>
      </w:pPr>
      <w:r>
        <w:t xml:space="preserve">КП “Луцьке електротехнічне підприємство — </w:t>
      </w:r>
      <w:proofErr w:type="spellStart"/>
      <w:r>
        <w:t>Луцьксвітло</w:t>
      </w:r>
      <w:proofErr w:type="spellEnd"/>
      <w:r>
        <w:t>”</w:t>
      </w:r>
    </w:p>
    <w:p w:rsidR="009407C6" w:rsidRDefault="009407C6">
      <w:pPr>
        <w:jc w:val="center"/>
      </w:pPr>
    </w:p>
    <w:tbl>
      <w:tblPr>
        <w:tblW w:w="1451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6574"/>
        <w:gridCol w:w="1815"/>
        <w:gridCol w:w="1814"/>
        <w:gridCol w:w="1814"/>
        <w:gridCol w:w="1870"/>
      </w:tblGrid>
      <w:tr w:rsidR="009407C6" w:rsidTr="00F84EB4"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6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об'єктів, що передаються</w:t>
            </w:r>
          </w:p>
        </w:tc>
        <w:tc>
          <w:tcPr>
            <w:tcW w:w="5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Кошторисна вартість з ПДВ, </w:t>
            </w:r>
            <w:r>
              <w:rPr>
                <w:sz w:val="26"/>
                <w:szCs w:val="26"/>
              </w:rPr>
              <w:t>грн.</w:t>
            </w:r>
          </w:p>
        </w:tc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Всього, грн.</w:t>
            </w:r>
          </w:p>
        </w:tc>
      </w:tr>
      <w:tr w:rsidR="009407C6" w:rsidTr="00F84EB4">
        <w:tc>
          <w:tcPr>
            <w:tcW w:w="6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9407C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657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9407C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проєктно</w:t>
            </w:r>
            <w:proofErr w:type="spellEnd"/>
            <w:r>
              <w:rPr>
                <w:sz w:val="26"/>
                <w:szCs w:val="26"/>
              </w:rPr>
              <w:t>-кошторисна документація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виконані роботи по будівництву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технічний нагляд</w:t>
            </w:r>
          </w:p>
        </w:tc>
        <w:tc>
          <w:tcPr>
            <w:tcW w:w="18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9407C6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Січовій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79 939,76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710,26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80 650,02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вул. </w:t>
            </w:r>
            <w:proofErr w:type="spellStart"/>
            <w:r>
              <w:rPr>
                <w:sz w:val="26"/>
                <w:szCs w:val="26"/>
              </w:rPr>
              <w:t>Яровиця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112 616,52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008,68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113 625,20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Наливайка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227 214,94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2 019,49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229 234,43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Ветеранів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159 878,90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1 420,53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161 299,43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Ківерцівській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219 765,69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1 973,86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221 739,55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вул. </w:t>
            </w:r>
            <w:proofErr w:type="spellStart"/>
            <w:r>
              <w:rPr>
                <w:sz w:val="26"/>
                <w:szCs w:val="26"/>
              </w:rPr>
              <w:t>Теремнівській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361 618,67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3 247,30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364 865,97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Героїв УПА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457 273,18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4 107,25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461 380,43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Президента Грушевського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688 293,31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6 187,80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694 481,11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Потебні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788 082,43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7 078,05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795 160,48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>. Відродження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1 404 504,19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12 625,04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1 417 129,23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</w:t>
            </w:r>
            <w:r>
              <w:rPr>
                <w:sz w:val="26"/>
                <w:szCs w:val="26"/>
              </w:rPr>
              <w:t xml:space="preserve"> зовнішнього освітлення на вул. </w:t>
            </w:r>
            <w:proofErr w:type="spellStart"/>
            <w:r>
              <w:rPr>
                <w:sz w:val="26"/>
                <w:szCs w:val="26"/>
              </w:rPr>
              <w:t>Гнідавській</w:t>
            </w:r>
            <w:proofErr w:type="spellEnd"/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696 730,21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6 257,39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702 987,60</w:t>
            </w:r>
          </w:p>
        </w:tc>
      </w:tr>
      <w:tr w:rsidR="009407C6" w:rsidTr="00F84EB4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Володимирській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772 296,56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6 947,0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779 243,56</w:t>
            </w:r>
          </w:p>
        </w:tc>
      </w:tr>
    </w:tbl>
    <w:p w:rsidR="00F84EB4" w:rsidRDefault="00F84EB4"/>
    <w:tbl>
      <w:tblPr>
        <w:tblW w:w="14513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6574"/>
        <w:gridCol w:w="1815"/>
        <w:gridCol w:w="1814"/>
        <w:gridCol w:w="1814"/>
        <w:gridCol w:w="1870"/>
      </w:tblGrid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Глушець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622 205,95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5 599,72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627 </w:t>
            </w:r>
            <w:r>
              <w:rPr>
                <w:sz w:val="26"/>
                <w:szCs w:val="26"/>
              </w:rPr>
              <w:t>805,67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вул. </w:t>
            </w:r>
            <w:proofErr w:type="spellStart"/>
            <w:r>
              <w:rPr>
                <w:sz w:val="26"/>
                <w:szCs w:val="26"/>
              </w:rPr>
              <w:t>Гордіюк</w:t>
            </w:r>
            <w:proofErr w:type="spellEnd"/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388 118,10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3 047,18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391 165,28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Карпенка-Карого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1 368 709,73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12 295,24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1 381 004,97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вул. </w:t>
            </w:r>
            <w:proofErr w:type="spellStart"/>
            <w:r>
              <w:rPr>
                <w:sz w:val="26"/>
                <w:szCs w:val="26"/>
              </w:rPr>
              <w:t>Коперніка</w:t>
            </w:r>
            <w:proofErr w:type="spellEnd"/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 </w:t>
            </w:r>
            <w:r>
              <w:rPr>
                <w:sz w:val="26"/>
                <w:szCs w:val="26"/>
              </w:rPr>
              <w:t>189,23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1 141,30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129 330,53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Львівській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1 454 041,56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13 056,78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1 467 098,34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Данила Галицького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325 923,70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2 927,98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328 851,68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</w:t>
            </w:r>
            <w:r>
              <w:rPr>
                <w:sz w:val="26"/>
                <w:szCs w:val="26"/>
              </w:rPr>
              <w:t xml:space="preserve"> вул. Гулака-</w:t>
            </w:r>
            <w:proofErr w:type="spellStart"/>
            <w:r>
              <w:rPr>
                <w:sz w:val="26"/>
                <w:szCs w:val="26"/>
              </w:rPr>
              <w:t>Артемовського</w:t>
            </w:r>
            <w:proofErr w:type="spellEnd"/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119 336,88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1 062,82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120 399,70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Кравчука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117 894,37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1 059,31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118 953,68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Ковельській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33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201 055,16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1 806,98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202 862,14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</w:t>
            </w:r>
            <w:r>
              <w:rPr>
                <w:sz w:val="26"/>
                <w:szCs w:val="26"/>
              </w:rPr>
              <w:t xml:space="preserve">зовнішнього освітлення на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 xml:space="preserve">. Перемоги і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>. Василя Мойсея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22 647,06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1 188 880,00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10 560,09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1 222 087,15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пішохідній доріжці в Парку культури і відпочинку ім. Лесі Українки на алеї з фігурами скульптора М. </w:t>
            </w:r>
            <w:proofErr w:type="spellStart"/>
            <w:r>
              <w:rPr>
                <w:sz w:val="26"/>
                <w:szCs w:val="26"/>
              </w:rPr>
              <w:t>Голован</w:t>
            </w:r>
            <w:r>
              <w:rPr>
                <w:sz w:val="26"/>
                <w:szCs w:val="26"/>
              </w:rPr>
              <w:t>я</w:t>
            </w:r>
            <w:proofErr w:type="spellEnd"/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6 444,00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99 987,69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904,78</w:t>
            </w:r>
          </w:p>
        </w:tc>
        <w:tc>
          <w:tcPr>
            <w:tcW w:w="1870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107 336,47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Набережній (від перехрестя з вул. Ковельською до перехрестя з вул. Шевченка)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28 250,57</w:t>
            </w:r>
            <w:bookmarkStart w:id="0" w:name="_GoBack"/>
            <w:bookmarkEnd w:id="0"/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200 206,45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1 707,80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230 164,82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вході в Парк </w:t>
            </w:r>
            <w:r>
              <w:rPr>
                <w:sz w:val="26"/>
                <w:szCs w:val="26"/>
              </w:rPr>
              <w:t xml:space="preserve">культури та відпочинку ім. Лесі Українки з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>. Волі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5 205,94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138 880,00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1 218,25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145 304,19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Караїмській, 16 на території Лютеранської Кірхи (коригування)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22 945,20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136 336,37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2 331,38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161 612,95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</w:t>
            </w:r>
            <w:r>
              <w:rPr>
                <w:sz w:val="26"/>
                <w:szCs w:val="26"/>
              </w:rPr>
              <w:t xml:space="preserve">зовнішнього освітлення на 1-му, 2-му </w:t>
            </w:r>
            <w:proofErr w:type="spellStart"/>
            <w:r>
              <w:rPr>
                <w:sz w:val="26"/>
                <w:szCs w:val="26"/>
              </w:rPr>
              <w:lastRenderedPageBreak/>
              <w:t>Малоомелянівському</w:t>
            </w:r>
            <w:proofErr w:type="spellEnd"/>
            <w:r>
              <w:rPr>
                <w:sz w:val="26"/>
                <w:szCs w:val="26"/>
              </w:rPr>
              <w:t xml:space="preserve"> провулку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5 205,94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235 249,22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2 036,35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242 491,51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3-му, 4-му, 5-му </w:t>
            </w:r>
            <w:proofErr w:type="spellStart"/>
            <w:r>
              <w:rPr>
                <w:sz w:val="26"/>
                <w:szCs w:val="26"/>
              </w:rPr>
              <w:t>Малоомелянівському</w:t>
            </w:r>
            <w:proofErr w:type="spellEnd"/>
            <w:r>
              <w:rPr>
                <w:sz w:val="26"/>
                <w:szCs w:val="26"/>
              </w:rPr>
              <w:t xml:space="preserve"> провулку і вул. </w:t>
            </w:r>
            <w:proofErr w:type="spellStart"/>
            <w:r>
              <w:rPr>
                <w:sz w:val="26"/>
                <w:szCs w:val="26"/>
              </w:rPr>
              <w:t>Малоомелянівській</w:t>
            </w:r>
            <w:proofErr w:type="spellEnd"/>
            <w:r>
              <w:rPr>
                <w:sz w:val="26"/>
                <w:szCs w:val="26"/>
              </w:rPr>
              <w:t xml:space="preserve"> (від вул. Сєченова до вул. Городецької)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  <w:r>
              <w:rPr>
                <w:sz w:val="26"/>
                <w:szCs w:val="26"/>
              </w:rPr>
              <w:t>729,16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393 830,17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3 362,13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424 921,46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перехресті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 xml:space="preserve">. Молоді — </w:t>
            </w:r>
            <w:proofErr w:type="spellStart"/>
            <w:r>
              <w:rPr>
                <w:sz w:val="26"/>
                <w:szCs w:val="26"/>
              </w:rPr>
              <w:t>просп</w:t>
            </w:r>
            <w:proofErr w:type="spellEnd"/>
            <w:r>
              <w:rPr>
                <w:sz w:val="26"/>
                <w:szCs w:val="26"/>
              </w:rPr>
              <w:t>. Відродження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20 431,62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657 626,05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5 468,20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683 525,87</w:t>
            </w:r>
          </w:p>
          <w:p w:rsidR="009407C6" w:rsidRDefault="00940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Караїмській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6 940,90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49 676,48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398,51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57 015,89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Мережі зовнішнього освітлення на вул. Кочерги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30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25 232,40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202,64</w:t>
            </w:r>
          </w:p>
        </w:tc>
        <w:tc>
          <w:tcPr>
            <w:tcW w:w="1870" w:type="dxa"/>
          </w:tcPr>
          <w:p w:rsidR="009407C6" w:rsidRDefault="0006174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25 435,04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574" w:type="dxa"/>
          </w:tcPr>
          <w:p w:rsidR="009407C6" w:rsidRDefault="0006174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Мережі зовнішнього освітлення на </w:t>
            </w:r>
            <w:r>
              <w:rPr>
                <w:sz w:val="26"/>
                <w:szCs w:val="26"/>
              </w:rPr>
              <w:t xml:space="preserve">пішохідній доріжці від вул. </w:t>
            </w:r>
            <w:proofErr w:type="spellStart"/>
            <w:r>
              <w:rPr>
                <w:sz w:val="26"/>
                <w:szCs w:val="26"/>
              </w:rPr>
              <w:t>Ярощука</w:t>
            </w:r>
            <w:proofErr w:type="spellEnd"/>
            <w:r>
              <w:rPr>
                <w:sz w:val="26"/>
                <w:szCs w:val="26"/>
              </w:rPr>
              <w:t xml:space="preserve"> вздовж НВК № 9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3 240,00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45 230,00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409,69</w:t>
            </w:r>
          </w:p>
        </w:tc>
        <w:tc>
          <w:tcPr>
            <w:tcW w:w="1870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48 879,69</w:t>
            </w:r>
          </w:p>
        </w:tc>
      </w:tr>
      <w:tr w:rsidR="009407C6" w:rsidTr="00F84EB4">
        <w:tc>
          <w:tcPr>
            <w:tcW w:w="626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574" w:type="dxa"/>
          </w:tcPr>
          <w:p w:rsidR="009407C6" w:rsidRDefault="0006174D">
            <w:pPr>
              <w:widowControl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Мережі зовнішнього освітлення на вулицях (вул.</w:t>
            </w:r>
            <w:r>
              <w:rPr>
                <w:color w:val="000000"/>
                <w:sz w:val="26"/>
                <w:szCs w:val="26"/>
              </w:rPr>
              <w:t xml:space="preserve"> Потебні, вул. </w:t>
            </w:r>
            <w:proofErr w:type="spellStart"/>
            <w:r>
              <w:rPr>
                <w:color w:val="000000"/>
                <w:sz w:val="26"/>
                <w:szCs w:val="26"/>
              </w:rPr>
              <w:t>Гнідавська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вул. Володимирська, вул. Львівська, вул. Ківерцівська, вул. </w:t>
            </w:r>
            <w:proofErr w:type="spellStart"/>
            <w:r>
              <w:rPr>
                <w:color w:val="000000"/>
                <w:sz w:val="26"/>
                <w:szCs w:val="26"/>
              </w:rPr>
              <w:t>Гордіюк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вул. Глушець, </w:t>
            </w:r>
            <w:proofErr w:type="spellStart"/>
            <w:r>
              <w:rPr>
                <w:color w:val="000000"/>
                <w:sz w:val="26"/>
                <w:szCs w:val="26"/>
              </w:rPr>
              <w:t>просп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Президента Грушевського, вул. </w:t>
            </w:r>
            <w:proofErr w:type="spellStart"/>
            <w:r>
              <w:rPr>
                <w:color w:val="000000"/>
                <w:sz w:val="26"/>
                <w:szCs w:val="26"/>
              </w:rPr>
              <w:t>Коперніка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вул. Шопена, </w:t>
            </w:r>
            <w:proofErr w:type="spellStart"/>
            <w:r>
              <w:rPr>
                <w:color w:val="000000"/>
                <w:sz w:val="26"/>
                <w:szCs w:val="26"/>
              </w:rPr>
              <w:t>просп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Відродження, </w:t>
            </w:r>
            <w:proofErr w:type="spellStart"/>
            <w:r>
              <w:rPr>
                <w:color w:val="000000"/>
                <w:sz w:val="26"/>
                <w:szCs w:val="26"/>
              </w:rPr>
              <w:t>просп</w:t>
            </w:r>
            <w:proofErr w:type="spellEnd"/>
            <w:r>
              <w:rPr>
                <w:color w:val="000000"/>
                <w:sz w:val="26"/>
                <w:szCs w:val="26"/>
              </w:rPr>
              <w:t>. Соборності, вул. Січова, вул. Ветеранів, вул. Кравчука, ву</w:t>
            </w:r>
            <w:r>
              <w:rPr>
                <w:color w:val="000000"/>
                <w:sz w:val="26"/>
                <w:szCs w:val="26"/>
              </w:rPr>
              <w:t xml:space="preserve">л. Ковельська, вул. Данила Галицького, вул. </w:t>
            </w:r>
            <w:proofErr w:type="spellStart"/>
            <w:r>
              <w:rPr>
                <w:color w:val="000000"/>
                <w:sz w:val="26"/>
                <w:szCs w:val="26"/>
              </w:rPr>
              <w:t>Яровиця</w:t>
            </w:r>
            <w:proofErr w:type="spellEnd"/>
            <w:r>
              <w:rPr>
                <w:color w:val="000000"/>
                <w:sz w:val="26"/>
                <w:szCs w:val="26"/>
              </w:rPr>
              <w:t>, вул. Гулака-</w:t>
            </w:r>
            <w:proofErr w:type="spellStart"/>
            <w:r>
              <w:rPr>
                <w:color w:val="000000"/>
                <w:sz w:val="26"/>
                <w:szCs w:val="26"/>
              </w:rPr>
              <w:t>Артемовського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вул. Наливайка, вул. </w:t>
            </w:r>
            <w:proofErr w:type="spellStart"/>
            <w:r>
              <w:rPr>
                <w:color w:val="000000"/>
                <w:sz w:val="26"/>
                <w:szCs w:val="26"/>
              </w:rPr>
              <w:t>Теремнівська</w:t>
            </w:r>
            <w:proofErr w:type="spellEnd"/>
            <w:r>
              <w:rPr>
                <w:color w:val="000000"/>
                <w:sz w:val="26"/>
                <w:szCs w:val="26"/>
              </w:rPr>
              <w:t>, вул. Карпенка-Карого, вул. Героїв УПА)</w:t>
            </w:r>
          </w:p>
        </w:tc>
        <w:tc>
          <w:tcPr>
            <w:tcW w:w="1815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123  983,80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70" w:type="dxa"/>
          </w:tcPr>
          <w:p w:rsidR="009407C6" w:rsidRDefault="0006174D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123 983,80</w:t>
            </w:r>
          </w:p>
        </w:tc>
      </w:tr>
    </w:tbl>
    <w:p w:rsidR="009407C6" w:rsidRDefault="009407C6">
      <w:pPr>
        <w:jc w:val="center"/>
      </w:pPr>
    </w:p>
    <w:p w:rsidR="009407C6" w:rsidRDefault="009407C6">
      <w:pPr>
        <w:rPr>
          <w:rFonts w:eastAsia="Calibri"/>
          <w:color w:val="000000"/>
          <w:lang w:eastAsia="en-US" w:bidi="en-US"/>
        </w:rPr>
      </w:pPr>
    </w:p>
    <w:p w:rsidR="009407C6" w:rsidRDefault="0006174D">
      <w:pPr>
        <w:rPr>
          <w:rFonts w:eastAsia="Calibri"/>
          <w:color w:val="000000"/>
          <w:lang w:eastAsia="en-US" w:bidi="en-US"/>
        </w:rPr>
      </w:pPr>
      <w:r>
        <w:rPr>
          <w:rFonts w:eastAsia="Calibri"/>
          <w:color w:val="000000"/>
          <w:lang w:eastAsia="en-US" w:bidi="en-US"/>
        </w:rPr>
        <w:t xml:space="preserve">Секретар міської ради                                                   </w:t>
      </w:r>
      <w:r>
        <w:rPr>
          <w:rFonts w:eastAsia="Calibri"/>
          <w:color w:val="000000"/>
          <w:lang w:eastAsia="en-US" w:bidi="en-US"/>
        </w:rPr>
        <w:t xml:space="preserve">                                                                                     Юрій БЕЗПЯТКО</w:t>
      </w:r>
    </w:p>
    <w:sectPr w:rsidR="009407C6" w:rsidSect="00F84EB4">
      <w:headerReference w:type="default" r:id="rId7"/>
      <w:headerReference w:type="first" r:id="rId8"/>
      <w:pgSz w:w="16838" w:h="11906" w:orient="landscape"/>
      <w:pgMar w:top="1134" w:right="567" w:bottom="1134" w:left="1134" w:header="117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4D" w:rsidRDefault="0006174D">
      <w:r>
        <w:separator/>
      </w:r>
    </w:p>
  </w:endnote>
  <w:endnote w:type="continuationSeparator" w:id="0">
    <w:p w:rsidR="0006174D" w:rsidRDefault="000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4D" w:rsidRDefault="0006174D">
      <w:r>
        <w:separator/>
      </w:r>
    </w:p>
  </w:footnote>
  <w:footnote w:type="continuationSeparator" w:id="0">
    <w:p w:rsidR="0006174D" w:rsidRDefault="0006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C6" w:rsidRDefault="00F84EB4" w:rsidP="00F84EB4">
    <w:pPr>
      <w:pStyle w:val="ad"/>
      <w:jc w:val="center"/>
    </w:pPr>
    <w:r>
      <w:t xml:space="preserve">                                                                                                                                                                </w:t>
    </w:r>
    <w:r w:rsidR="0006174D">
      <w:t xml:space="preserve">Продовження додатку </w:t>
    </w:r>
  </w:p>
  <w:p w:rsidR="00F84EB4" w:rsidRDefault="00F84EB4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C6" w:rsidRDefault="009407C6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7C6"/>
    <w:rsid w:val="0006174D"/>
    <w:rsid w:val="009407C6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8291C"/>
  <w15:docId w15:val="{2BB52890-4542-466D-AAD0-D98C768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Покажчик"/>
    <w:basedOn w:val="a"/>
    <w:qFormat/>
    <w:pPr>
      <w:suppressLineNumbers/>
    </w:pPr>
    <w:rPr>
      <w:sz w:val="24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7285"/>
        <w:tab w:val="right" w:pos="14570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b"/>
  </w:style>
  <w:style w:type="paragraph" w:styleId="ae">
    <w:name w:val="footer"/>
    <w:basedOn w:val="a"/>
    <w:link w:val="af"/>
    <w:uiPriority w:val="99"/>
    <w:unhideWhenUsed/>
    <w:rsid w:val="00F84EB4"/>
    <w:pPr>
      <w:tabs>
        <w:tab w:val="center" w:pos="4819"/>
        <w:tab w:val="right" w:pos="9639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F84EB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5925-329F-4661-AA1F-22F6CC6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kubitska </dc:creator>
  <dc:description/>
  <cp:lastModifiedBy>beseda</cp:lastModifiedBy>
  <cp:revision>13</cp:revision>
  <dcterms:created xsi:type="dcterms:W3CDTF">2022-04-06T12:33:00Z</dcterms:created>
  <dcterms:modified xsi:type="dcterms:W3CDTF">2022-04-15T07:56:00Z</dcterms:modified>
  <dc:language>uk-UA</dc:language>
</cp:coreProperties>
</file>