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38" w:rsidRPr="0034050F" w:rsidRDefault="00A40AD4" w:rsidP="00655448">
      <w:pPr>
        <w:ind w:left="5245"/>
        <w:rPr>
          <w:rFonts w:ascii="Times New Roman" w:hAnsi="Times New Roman" w:cs="Times New Roman"/>
          <w:sz w:val="28"/>
          <w:szCs w:val="28"/>
        </w:rPr>
      </w:pPr>
      <w:r w:rsidRPr="0034050F">
        <w:rPr>
          <w:rFonts w:ascii="Times New Roman" w:hAnsi="Times New Roman" w:cs="Times New Roman"/>
          <w:sz w:val="28"/>
          <w:szCs w:val="28"/>
        </w:rPr>
        <w:t>Додаток 5</w:t>
      </w:r>
    </w:p>
    <w:p w:rsidR="00E02A38" w:rsidRPr="0034050F" w:rsidRDefault="00A40AD4" w:rsidP="00655448">
      <w:pPr>
        <w:ind w:left="5245"/>
        <w:rPr>
          <w:rFonts w:ascii="Times New Roman" w:hAnsi="Times New Roman" w:cs="Times New Roman"/>
          <w:sz w:val="28"/>
          <w:szCs w:val="28"/>
        </w:rPr>
      </w:pPr>
      <w:r w:rsidRPr="0034050F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02A38" w:rsidRPr="0034050F" w:rsidRDefault="00A40AD4" w:rsidP="00655448">
      <w:pPr>
        <w:ind w:left="5245"/>
        <w:rPr>
          <w:rFonts w:ascii="Times New Roman" w:hAnsi="Times New Roman" w:cs="Times New Roman"/>
          <w:sz w:val="28"/>
          <w:szCs w:val="28"/>
        </w:rPr>
      </w:pPr>
      <w:r w:rsidRPr="0034050F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02A38" w:rsidRPr="0034050F" w:rsidRDefault="00A40AD4" w:rsidP="00655448">
      <w:pPr>
        <w:ind w:left="5245"/>
        <w:rPr>
          <w:rFonts w:ascii="Times New Roman" w:hAnsi="Times New Roman" w:cs="Times New Roman"/>
          <w:sz w:val="28"/>
          <w:szCs w:val="28"/>
        </w:rPr>
      </w:pPr>
      <w:r w:rsidRPr="0034050F">
        <w:rPr>
          <w:rFonts w:ascii="Times New Roman" w:hAnsi="Times New Roman" w:cs="Times New Roman"/>
          <w:sz w:val="28"/>
          <w:szCs w:val="28"/>
        </w:rPr>
        <w:t>______________№_______</w:t>
      </w:r>
      <w:r w:rsidR="00655448">
        <w:rPr>
          <w:rFonts w:ascii="Times New Roman" w:hAnsi="Times New Roman" w:cs="Times New Roman"/>
          <w:sz w:val="28"/>
          <w:szCs w:val="28"/>
        </w:rPr>
        <w:t>_____</w:t>
      </w:r>
    </w:p>
    <w:p w:rsidR="00E02A38" w:rsidRDefault="00E02A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02A38" w:rsidTr="0034050F">
        <w:tc>
          <w:tcPr>
            <w:tcW w:w="9356" w:type="dxa"/>
            <w:vAlign w:val="center"/>
          </w:tcPr>
          <w:p w:rsidR="00E02A38" w:rsidRDefault="00A40AD4" w:rsidP="0034050F">
            <w:pPr>
              <w:pStyle w:val="a8"/>
              <w:tabs>
                <w:tab w:val="left" w:pos="964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Структура тарифів на транспортування теплової енергії власним споживачам ДКП </w:t>
            </w:r>
            <w:r w:rsidR="003405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Луцьктепло</w:t>
            </w:r>
            <w:r w:rsidR="003405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 теплових пунктів) </w:t>
            </w:r>
          </w:p>
        </w:tc>
      </w:tr>
    </w:tbl>
    <w:p w:rsidR="00E02A38" w:rsidRDefault="00E02A38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356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3604"/>
        <w:gridCol w:w="1741"/>
        <w:gridCol w:w="1684"/>
        <w:gridCol w:w="1534"/>
      </w:tblGrid>
      <w:tr w:rsidR="00E02A38" w:rsidTr="0034050F">
        <w:tc>
          <w:tcPr>
            <w:tcW w:w="793" w:type="dxa"/>
            <w:tcBorders>
              <w:bottom w:val="single" w:sz="2" w:space="0" w:color="000000"/>
            </w:tcBorders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4" w:type="dxa"/>
            <w:tcBorders>
              <w:bottom w:val="single" w:sz="2" w:space="0" w:color="000000"/>
            </w:tcBorders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41" w:type="dxa"/>
            <w:tcBorders>
              <w:bottom w:val="single" w:sz="2" w:space="0" w:color="000000"/>
            </w:tcBorders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4" w:type="dxa"/>
            <w:tcBorders>
              <w:bottom w:val="single" w:sz="2" w:space="0" w:color="000000"/>
            </w:tcBorders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4" w:type="dxa"/>
            <w:tcBorders>
              <w:bottom w:val="single" w:sz="2" w:space="0" w:color="000000"/>
            </w:tcBorders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E02A38" w:rsidTr="0034050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E02A38" w:rsidTr="0034050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E02A3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релігійних організацій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327,33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327,19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322,81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транспортування теплової енергії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155,27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155,27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155,27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86,98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86,98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86,98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80,32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80,32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80,32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31,29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7,86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20,87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162,64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162,50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158,11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320,55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320,41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316,03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т.ч.: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6,78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6,78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E02A3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E02A3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E02A38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327,33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327,19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322,81</w:t>
            </w:r>
          </w:p>
        </w:tc>
      </w:tr>
      <w:tr w:rsidR="00E02A38" w:rsidTr="0034050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44 307,08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22 909,99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02A38" w:rsidRDefault="00A40AD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161,17</w:t>
            </w:r>
          </w:p>
        </w:tc>
      </w:tr>
    </w:tbl>
    <w:p w:rsidR="00E02A38" w:rsidRDefault="00E02A38">
      <w:pPr>
        <w:jc w:val="center"/>
        <w:rPr>
          <w:rFonts w:ascii="Times New Roman" w:hAnsi="Times New Roman"/>
        </w:rPr>
      </w:pPr>
    </w:p>
    <w:p w:rsidR="00E02A38" w:rsidRDefault="00E02A38">
      <w:pPr>
        <w:jc w:val="center"/>
        <w:rPr>
          <w:rFonts w:ascii="Times New Roman" w:hAnsi="Times New Roman"/>
        </w:rPr>
      </w:pPr>
    </w:p>
    <w:p w:rsidR="00E02A38" w:rsidRDefault="00A40AD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E02A38" w:rsidRDefault="00A40AD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BD631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34050F">
        <w:rPr>
          <w:rFonts w:ascii="Times New Roman" w:hAnsi="Times New Roman" w:cs="Times New Roman"/>
          <w:sz w:val="28"/>
          <w:szCs w:val="28"/>
        </w:rPr>
        <w:tab/>
      </w:r>
      <w:r w:rsidR="00340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E02A38" w:rsidRDefault="00E02A38">
      <w:pPr>
        <w:rPr>
          <w:rFonts w:ascii="Times New Roman" w:hAnsi="Times New Roman" w:cs="Times New Roman"/>
          <w:sz w:val="28"/>
          <w:szCs w:val="28"/>
        </w:rPr>
      </w:pPr>
    </w:p>
    <w:p w:rsidR="0034050F" w:rsidRDefault="0034050F">
      <w:pPr>
        <w:rPr>
          <w:rFonts w:ascii="Times New Roman" w:hAnsi="Times New Roman" w:cs="Times New Roman"/>
          <w:sz w:val="28"/>
          <w:szCs w:val="28"/>
        </w:rPr>
      </w:pPr>
    </w:p>
    <w:p w:rsidR="00E02A38" w:rsidRDefault="00A40AD4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</w:t>
      </w:r>
      <w:r w:rsidR="0034050F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E02A38" w:rsidSect="0034050F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76" w:rsidRDefault="00771C76" w:rsidP="0034050F">
      <w:r>
        <w:separator/>
      </w:r>
    </w:p>
  </w:endnote>
  <w:endnote w:type="continuationSeparator" w:id="0">
    <w:p w:rsidR="00771C76" w:rsidRDefault="00771C76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76" w:rsidRDefault="00771C76" w:rsidP="0034050F">
      <w:r>
        <w:separator/>
      </w:r>
    </w:p>
  </w:footnote>
  <w:footnote w:type="continuationSeparator" w:id="0">
    <w:p w:rsidR="00771C76" w:rsidRDefault="00771C76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930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050F" w:rsidRDefault="0034050F">
        <w:pPr>
          <w:pStyle w:val="aa"/>
          <w:jc w:val="center"/>
        </w:pPr>
      </w:p>
      <w:p w:rsidR="0034050F" w:rsidRPr="0034050F" w:rsidRDefault="0034050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5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5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5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312" w:rsidRPr="00BD631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405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050F" w:rsidRDefault="0034050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A38"/>
    <w:rsid w:val="0034050F"/>
    <w:rsid w:val="005D1974"/>
    <w:rsid w:val="00655448"/>
    <w:rsid w:val="00771C76"/>
    <w:rsid w:val="00A40AD4"/>
    <w:rsid w:val="00BD6312"/>
    <w:rsid w:val="00E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BA3E"/>
  <w15:docId w15:val="{2687C462-ECBC-4C46-AE21-B37AC2D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4050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4050F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4050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405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1763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16</cp:revision>
  <dcterms:created xsi:type="dcterms:W3CDTF">2022-05-06T12:14:00Z</dcterms:created>
  <dcterms:modified xsi:type="dcterms:W3CDTF">2022-05-08T20:14:00Z</dcterms:modified>
  <dc:language>uk-UA</dc:language>
</cp:coreProperties>
</file>