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43" w:rsidRDefault="00895D21" w:rsidP="00910DF0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:rsidR="00CA5B43" w:rsidRDefault="00895D21" w:rsidP="00910DF0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910DF0" w:rsidRDefault="00910DF0" w:rsidP="00910DF0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:rsidR="00CA5B43" w:rsidRDefault="00895D21" w:rsidP="00910DF0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910D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</w:t>
      </w:r>
    </w:p>
    <w:p w:rsidR="00CA5B43" w:rsidRDefault="00CA5B43" w:rsidP="00910DF0">
      <w:pPr>
        <w:ind w:left="5103" w:firstLine="567"/>
        <w:jc w:val="both"/>
        <w:rPr>
          <w:rFonts w:ascii="Times New Roman" w:hAnsi="Times New Roman"/>
          <w:sz w:val="28"/>
          <w:szCs w:val="28"/>
        </w:rPr>
      </w:pPr>
    </w:p>
    <w:p w:rsidR="00CA5B43" w:rsidRDefault="00895D21">
      <w:pPr>
        <w:tabs>
          <w:tab w:val="left" w:pos="7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заходів щодо покращення екологічного стану водойм та дотримання вимог природоохоронного законодавства при користуванні землями водного фонду на території Луцької міської територіальної громади</w:t>
      </w:r>
    </w:p>
    <w:p w:rsidR="00CA5B43" w:rsidRDefault="00CA5B43">
      <w:pPr>
        <w:tabs>
          <w:tab w:val="left" w:pos="7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4484"/>
        <w:gridCol w:w="2147"/>
        <w:gridCol w:w="1902"/>
      </w:tblGrid>
      <w:tr w:rsidR="00CA5B43" w:rsidTr="00910DF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F0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з/п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Зміст заходу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Відп</w:t>
            </w:r>
            <w:r>
              <w:rPr>
                <w:rFonts w:ascii="Times New Roman" w:hAnsi="Times New Roman"/>
                <w:color w:val="000000"/>
              </w:rPr>
              <w:t>овідальний за виконання заходу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Термін виконання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 w:rsidP="00910DF0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Виготовити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встановлення меж прибережних захисних смуг та водоохоронних зон річки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Омеляник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(за</w:t>
            </w:r>
            <w:r w:rsidR="00910DF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межами м.</w:t>
            </w:r>
            <w:r w:rsidR="00910DF0">
              <w:rPr>
                <w:rFonts w:ascii="Times New Roman" w:hAnsi="Times New Roman"/>
                <w:color w:val="000000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Луцька) 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р.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Виготовити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встановлення меж прибережних захисних </w:t>
            </w:r>
            <w:r>
              <w:rPr>
                <w:rFonts w:ascii="Times New Roman" w:hAnsi="Times New Roman"/>
                <w:color w:val="000000"/>
              </w:rPr>
              <w:t>смуг та водоохоронних зон річки Чорногузка (в межах території Луцької МТГ, ліва сторона)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р.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Виготовити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встановлення меж прибережних захисних смуг та водоохоронних зон річки Серна (в межах с.</w:t>
            </w:r>
            <w:r w:rsidR="00910DF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Буків, с.</w:t>
            </w:r>
            <w:r w:rsidR="00910DF0">
              <w:rPr>
                <w:rFonts w:ascii="Times New Roman" w:hAnsi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</w:rPr>
              <w:t>Іванчиці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р.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Винести в натуру межі прибережних захисних смуг річок та водойм на території громади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 рр.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Виготовити паспорти водних об’єктів, які можуть бути надані в оренду (36 шт.)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містобудування, земельних ресурсів</w:t>
            </w:r>
            <w:r>
              <w:rPr>
                <w:rFonts w:ascii="Times New Roman" w:hAnsi="Times New Roman"/>
                <w:color w:val="000000"/>
              </w:rPr>
              <w:t xml:space="preserve"> та реклами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2022-2025 рр.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Тримати на постійному контролі дотримання вимог природоохоронного законодавства орендарями водних об’єктів (наявність дозволів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спецводокористування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землеустрою щодо встановлення прибережних смуг та водоохоронних з</w:t>
            </w:r>
            <w:r>
              <w:rPr>
                <w:rFonts w:ascii="Times New Roman" w:hAnsi="Times New Roman"/>
                <w:color w:val="000000"/>
              </w:rPr>
              <w:t>он, розміщення споруд, дотримання договірних зобов’язань, сплати орендної плати, дотримання правил загального водокористування тощо)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департамент муніципальної варти, </w:t>
            </w:r>
          </w:p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департамент бюджету, фінансів та аудиту, </w:t>
            </w:r>
          </w:p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Державна екологічна інспекція у Волинській </w:t>
            </w:r>
            <w:r>
              <w:rPr>
                <w:rFonts w:ascii="Times New Roman" w:hAnsi="Times New Roman"/>
                <w:color w:val="000000"/>
              </w:rPr>
              <w:t>області, департамент містобудування, земельних ресурсів та реклами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постійно</w:t>
            </w:r>
          </w:p>
        </w:tc>
      </w:tr>
    </w:tbl>
    <w:p w:rsidR="00CA5B43" w:rsidRDefault="00CA5B43">
      <w:pPr>
        <w:tabs>
          <w:tab w:val="left" w:pos="720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4484"/>
        <w:gridCol w:w="2100"/>
        <w:gridCol w:w="1949"/>
      </w:tblGrid>
      <w:tr w:rsidR="00CA5B43" w:rsidTr="00910DF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Виготовити та встановити  інформаційні та охоронні знаки встановленого зразка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означування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водних об’єктів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2022-2024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Забезпечити </w:t>
            </w:r>
            <w:r>
              <w:rPr>
                <w:rFonts w:ascii="Times New Roman" w:hAnsi="Times New Roman"/>
                <w:color w:val="000000"/>
              </w:rPr>
              <w:t>прибирання засмічення та ліквідацію стихійних сміттєзвалищ в межах прибережних смуг водних об’єктів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постійно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Забезпечити розчищення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русел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річок, меліоративних систем від засмічення та замулення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екології, ДЖКГ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відповідно до розроблених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Забезпечити належне утримання територій прибережних захисних смуг річок та інших водойм (обкошування берегів, видалення самосійних дерев та чагарників, видалення аварійних дерев)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екології, ДЖКГ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постійно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</w:pPr>
            <w:r>
              <w:rPr>
                <w:rFonts w:ascii="Times New Roman" w:hAnsi="Times New Roman"/>
                <w:color w:val="000000"/>
              </w:rPr>
              <w:t>Організувати дослідження яко</w:t>
            </w:r>
            <w:r>
              <w:rPr>
                <w:rFonts w:ascii="Times New Roman" w:hAnsi="Times New Roman"/>
                <w:color w:val="000000"/>
              </w:rPr>
              <w:t>сті води у водоймах (ставки, озера, водосховища), які використовуються для рекреації та любительського рибальства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відділ екології, </w:t>
            </w:r>
          </w:p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Луцькводоканал</w:t>
            </w:r>
            <w:proofErr w:type="spellEnd"/>
            <w:r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</w:pPr>
            <w:r>
              <w:rPr>
                <w:rFonts w:ascii="Times New Roman" w:hAnsi="Times New Roman"/>
                <w:color w:val="000000"/>
              </w:rPr>
              <w:t>за потребою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Налагодити співпрацю із науковцями місцевих ВУЗів з метою дослідження екологічного </w:t>
            </w:r>
            <w:r>
              <w:rPr>
                <w:rFonts w:ascii="Times New Roman" w:hAnsi="Times New Roman"/>
                <w:color w:val="000000"/>
              </w:rPr>
              <w:t>стану водойм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постійно</w:t>
            </w:r>
          </w:p>
        </w:tc>
      </w:tr>
      <w:tr w:rsidR="00CA5B43" w:rsidTr="00910DF0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Організувати проведення екологічних акцій, толок із широким залученням громади до впорядкування водойм та прибережних територій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відділ екології, департамент молоді та спорту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43" w:rsidRDefault="00895D21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щорічно</w:t>
            </w:r>
          </w:p>
        </w:tc>
      </w:tr>
    </w:tbl>
    <w:p w:rsidR="00CA5B43" w:rsidRDefault="00CA5B43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910DF0" w:rsidRDefault="00910DF0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CA5B43" w:rsidRDefault="00CA5B43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CA5B43" w:rsidRDefault="00895D21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CA5B43" w:rsidRDefault="00895D21">
      <w:pPr>
        <w:tabs>
          <w:tab w:val="left" w:pos="540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Юрій В</w:t>
      </w:r>
      <w:r w:rsidR="00910DF0">
        <w:rPr>
          <w:rFonts w:ascii="Times New Roman" w:hAnsi="Times New Roman"/>
          <w:sz w:val="28"/>
          <w:szCs w:val="28"/>
        </w:rPr>
        <w:t>ЕРБИЧ</w:t>
      </w:r>
    </w:p>
    <w:p w:rsidR="00910DF0" w:rsidRDefault="00910DF0">
      <w:pPr>
        <w:tabs>
          <w:tab w:val="left" w:pos="540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910DF0" w:rsidRDefault="00910DF0">
      <w:pPr>
        <w:tabs>
          <w:tab w:val="left" w:pos="540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910DF0" w:rsidRDefault="00910DF0">
      <w:pPr>
        <w:tabs>
          <w:tab w:val="left" w:pos="540"/>
          <w:tab w:val="left" w:pos="7200"/>
        </w:tabs>
        <w:jc w:val="both"/>
        <w:rPr>
          <w:rFonts w:ascii="Times New Roman" w:hAnsi="Times New Roman"/>
        </w:rPr>
      </w:pPr>
      <w:r w:rsidRPr="00910DF0">
        <w:rPr>
          <w:rFonts w:ascii="Times New Roman" w:hAnsi="Times New Roman"/>
        </w:rPr>
        <w:t>Лисак 724</w:t>
      </w:r>
      <w:r>
        <w:rPr>
          <w:rFonts w:ascii="Times New Roman" w:hAnsi="Times New Roman"/>
        </w:rPr>
        <w:t> </w:t>
      </w:r>
      <w:r w:rsidRPr="00910DF0">
        <w:rPr>
          <w:rFonts w:ascii="Times New Roman" w:hAnsi="Times New Roman"/>
        </w:rPr>
        <w:t>608</w:t>
      </w:r>
    </w:p>
    <w:p w:rsidR="00910DF0" w:rsidRPr="00910DF0" w:rsidRDefault="00910DF0">
      <w:pPr>
        <w:tabs>
          <w:tab w:val="left" w:pos="540"/>
          <w:tab w:val="left" w:pos="7200"/>
        </w:tabs>
        <w:jc w:val="both"/>
        <w:rPr>
          <w:rFonts w:ascii="Times New Roman" w:hAnsi="Times New Roman"/>
        </w:rPr>
      </w:pPr>
    </w:p>
    <w:sectPr w:rsidR="00910DF0" w:rsidRPr="00910DF0" w:rsidSect="00910DF0">
      <w:headerReference w:type="default" r:id="rId7"/>
      <w:pgSz w:w="11906" w:h="16838"/>
      <w:pgMar w:top="1134" w:right="567" w:bottom="1134" w:left="1985" w:header="426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21" w:rsidRDefault="00895D21" w:rsidP="00910DF0">
      <w:r>
        <w:separator/>
      </w:r>
    </w:p>
  </w:endnote>
  <w:endnote w:type="continuationSeparator" w:id="0">
    <w:p w:rsidR="00895D21" w:rsidRDefault="00895D21" w:rsidP="0091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21" w:rsidRDefault="00895D21" w:rsidP="00910DF0">
      <w:r>
        <w:separator/>
      </w:r>
    </w:p>
  </w:footnote>
  <w:footnote w:type="continuationSeparator" w:id="0">
    <w:p w:rsidR="00895D21" w:rsidRDefault="00895D21" w:rsidP="0091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97775"/>
      <w:docPartObj>
        <w:docPartGallery w:val="Page Numbers (Top of Page)"/>
        <w:docPartUnique/>
      </w:docPartObj>
    </w:sdtPr>
    <w:sdtContent>
      <w:p w:rsidR="00910DF0" w:rsidRDefault="00910D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DF0">
          <w:rPr>
            <w:noProof/>
            <w:lang w:val="ru-RU"/>
          </w:rPr>
          <w:t>2</w:t>
        </w:r>
        <w:r>
          <w:fldChar w:fldCharType="end"/>
        </w:r>
      </w:p>
    </w:sdtContent>
  </w:sdt>
  <w:p w:rsidR="00910DF0" w:rsidRPr="00910DF0" w:rsidRDefault="00910DF0" w:rsidP="00910DF0">
    <w:pPr>
      <w:pStyle w:val="ac"/>
      <w:tabs>
        <w:tab w:val="clear" w:pos="9355"/>
        <w:tab w:val="right" w:pos="9214"/>
      </w:tabs>
      <w:ind w:right="14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B43"/>
    <w:rsid w:val="00895D21"/>
    <w:rsid w:val="00910DF0"/>
    <w:rsid w:val="00C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орінки"/>
    <w:basedOn w:val="a0"/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aa">
    <w:name w:val="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986"/>
        <w:tab w:val="right" w:pos="9972"/>
      </w:tabs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  <w:style w:type="paragraph" w:styleId="af2">
    <w:name w:val="footer"/>
    <w:basedOn w:val="a"/>
    <w:link w:val="af3"/>
    <w:uiPriority w:val="99"/>
    <w:unhideWhenUsed/>
    <w:rsid w:val="00910DF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910DF0"/>
    <w:rPr>
      <w:rFonts w:cs="Mangal"/>
      <w:sz w:val="24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910D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1875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7</cp:revision>
  <dcterms:created xsi:type="dcterms:W3CDTF">2017-10-20T23:40:00Z</dcterms:created>
  <dcterms:modified xsi:type="dcterms:W3CDTF">2022-06-10T06:06:00Z</dcterms:modified>
  <dc:language>uk-UA</dc:language>
</cp:coreProperties>
</file>