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16" w:rsidRDefault="00C02CF2">
      <w:pPr>
        <w:tabs>
          <w:tab w:val="left" w:pos="4320"/>
        </w:tabs>
        <w:jc w:val="center"/>
      </w:pPr>
      <w:r>
        <w:object w:dxaOrig="1140" w:dyaOrig="1185">
          <v:shape id="ole_rId2" o:spid="_x0000_i1025" style="width:57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8542035" r:id="rId9"/>
        </w:object>
      </w:r>
    </w:p>
    <w:p w:rsidR="00566E16" w:rsidRDefault="00566E16">
      <w:pPr>
        <w:jc w:val="center"/>
        <w:rPr>
          <w:sz w:val="16"/>
          <w:szCs w:val="16"/>
        </w:rPr>
      </w:pPr>
    </w:p>
    <w:p w:rsidR="00566E16" w:rsidRDefault="00C02C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566E16" w:rsidRDefault="00566E16">
      <w:pPr>
        <w:rPr>
          <w:color w:val="FF0000"/>
          <w:sz w:val="10"/>
          <w:szCs w:val="10"/>
        </w:rPr>
      </w:pPr>
    </w:p>
    <w:p w:rsidR="00566E16" w:rsidRDefault="00C02C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566E16" w:rsidRDefault="00566E16">
      <w:pPr>
        <w:jc w:val="center"/>
        <w:rPr>
          <w:b/>
          <w:bCs/>
          <w:sz w:val="20"/>
          <w:szCs w:val="20"/>
        </w:rPr>
      </w:pPr>
    </w:p>
    <w:p w:rsidR="00566E16" w:rsidRDefault="00C02CF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66E16" w:rsidRDefault="00566E16">
      <w:pPr>
        <w:jc w:val="center"/>
        <w:rPr>
          <w:bCs/>
          <w:sz w:val="40"/>
          <w:szCs w:val="40"/>
        </w:rPr>
      </w:pPr>
    </w:p>
    <w:p w:rsidR="00566E16" w:rsidRDefault="00C02CF2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566E16" w:rsidRDefault="00566E16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566E16" w:rsidRDefault="00C02CF2" w:rsidP="00AA253F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Про облік та проведення інвентаризації зелених насаджень на території Луцької міської територіальної громади</w:t>
      </w:r>
    </w:p>
    <w:p w:rsidR="00566E16" w:rsidRPr="00AA253F" w:rsidRDefault="00566E16" w:rsidP="00AA253F">
      <w:pPr>
        <w:tabs>
          <w:tab w:val="left" w:pos="570"/>
        </w:tabs>
        <w:spacing w:line="360" w:lineRule="auto"/>
        <w:ind w:firstLine="624"/>
        <w:jc w:val="both"/>
        <w:rPr>
          <w:sz w:val="28"/>
          <w:szCs w:val="28"/>
        </w:rPr>
      </w:pPr>
    </w:p>
    <w:p w:rsidR="00566E16" w:rsidRDefault="00C02CF2">
      <w:pPr>
        <w:tabs>
          <w:tab w:val="left" w:pos="570"/>
        </w:tabs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пунктів», Наказу Державного комітету будівництва, архітектури та житлової політики України</w:t>
      </w:r>
      <w:r w:rsidR="00AA253F">
        <w:rPr>
          <w:color w:val="000000"/>
          <w:sz w:val="28"/>
          <w:szCs w:val="28"/>
        </w:rPr>
        <w:t xml:space="preserve"> від 24.12.2001 № </w:t>
      </w:r>
      <w:r>
        <w:rPr>
          <w:color w:val="000000"/>
          <w:sz w:val="28"/>
          <w:szCs w:val="28"/>
        </w:rPr>
        <w:t>226 «Про затвердження Інструкції з інвентаризації зелених насадже</w:t>
      </w:r>
      <w:r w:rsidR="00AA253F">
        <w:rPr>
          <w:color w:val="000000"/>
          <w:sz w:val="28"/>
          <w:szCs w:val="28"/>
        </w:rPr>
        <w:t>нь у населених пунктах України»</w:t>
      </w:r>
      <w:r>
        <w:rPr>
          <w:color w:val="000000"/>
          <w:sz w:val="28"/>
          <w:szCs w:val="28"/>
        </w:rPr>
        <w:t xml:space="preserve"> зі змінами та з метою охорони і збереження зелених насаджень на території громади, їх утримання у здоровому й упорядкованому стані, створення бази даних для розроблення програм будівництва, відновлення та експлуатації об'єктів зеленого господарства, виконавчий комітет міської ради</w:t>
      </w:r>
      <w:r>
        <w:rPr>
          <w:sz w:val="28"/>
          <w:szCs w:val="28"/>
        </w:rPr>
        <w:t xml:space="preserve"> </w:t>
      </w:r>
    </w:p>
    <w:p w:rsidR="00566E16" w:rsidRDefault="00566E16">
      <w:pPr>
        <w:tabs>
          <w:tab w:val="left" w:pos="540"/>
        </w:tabs>
        <w:jc w:val="both"/>
        <w:rPr>
          <w:sz w:val="28"/>
          <w:szCs w:val="28"/>
        </w:rPr>
      </w:pPr>
    </w:p>
    <w:p w:rsidR="00566E16" w:rsidRDefault="00C02CF2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66E16" w:rsidRDefault="00566E16">
      <w:pPr>
        <w:tabs>
          <w:tab w:val="left" w:pos="540"/>
        </w:tabs>
        <w:jc w:val="both"/>
        <w:rPr>
          <w:sz w:val="28"/>
          <w:szCs w:val="28"/>
        </w:rPr>
      </w:pPr>
    </w:p>
    <w:p w:rsidR="00566E16" w:rsidRDefault="00C02CF2">
      <w:pPr>
        <w:tabs>
          <w:tab w:val="left" w:pos="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A253F">
        <w:rPr>
          <w:sz w:val="28"/>
          <w:szCs w:val="28"/>
        </w:rPr>
        <w:t> </w:t>
      </w:r>
      <w:r w:rsidR="009B1B31">
        <w:rPr>
          <w:sz w:val="28"/>
          <w:szCs w:val="28"/>
        </w:rPr>
        <w:t>Зобов’язати б</w:t>
      </w:r>
      <w:r>
        <w:rPr>
          <w:sz w:val="28"/>
          <w:szCs w:val="28"/>
        </w:rPr>
        <w:t>алансоутримувач</w:t>
      </w:r>
      <w:r w:rsidR="009B1B31">
        <w:rPr>
          <w:sz w:val="28"/>
          <w:szCs w:val="28"/>
        </w:rPr>
        <w:t>ів</w:t>
      </w:r>
      <w:r>
        <w:rPr>
          <w:sz w:val="28"/>
          <w:szCs w:val="28"/>
        </w:rPr>
        <w:t>, власни</w:t>
      </w:r>
      <w:r w:rsidR="009B1B31">
        <w:rPr>
          <w:sz w:val="28"/>
          <w:szCs w:val="28"/>
        </w:rPr>
        <w:t>ків</w:t>
      </w:r>
      <w:r>
        <w:rPr>
          <w:sz w:val="28"/>
          <w:szCs w:val="28"/>
        </w:rPr>
        <w:t xml:space="preserve"> та користувач</w:t>
      </w:r>
      <w:r w:rsidR="009B1B31">
        <w:rPr>
          <w:sz w:val="28"/>
          <w:szCs w:val="28"/>
        </w:rPr>
        <w:t>ів</w:t>
      </w:r>
      <w:r>
        <w:rPr>
          <w:sz w:val="28"/>
          <w:szCs w:val="28"/>
        </w:rPr>
        <w:t xml:space="preserve"> земельних ділянок, керівник</w:t>
      </w:r>
      <w:r w:rsidR="009B1B31">
        <w:rPr>
          <w:sz w:val="28"/>
          <w:szCs w:val="28"/>
        </w:rPr>
        <w:t>ів</w:t>
      </w:r>
      <w:r>
        <w:rPr>
          <w:sz w:val="28"/>
          <w:szCs w:val="28"/>
        </w:rPr>
        <w:t xml:space="preserve"> підприємств, установ, організацій усіх форм власності (далі </w:t>
      </w:r>
      <w:r w:rsidR="00AA253F">
        <w:rPr>
          <w:sz w:val="28"/>
          <w:szCs w:val="28"/>
        </w:rPr>
        <w:t>–</w:t>
      </w:r>
      <w:r>
        <w:rPr>
          <w:sz w:val="28"/>
          <w:szCs w:val="28"/>
        </w:rPr>
        <w:t xml:space="preserve"> суб’єкти господарювання), на території яких розташовані зелені насадження</w:t>
      </w:r>
      <w:r w:rsidR="00AA253F">
        <w:rPr>
          <w:sz w:val="28"/>
          <w:szCs w:val="28"/>
        </w:rPr>
        <w:t>,</w:t>
      </w:r>
      <w:r>
        <w:rPr>
          <w:sz w:val="28"/>
          <w:szCs w:val="28"/>
        </w:rPr>
        <w:t xml:space="preserve"> в термін до </w:t>
      </w:r>
      <w:r>
        <w:rPr>
          <w:color w:val="000000"/>
          <w:sz w:val="28"/>
          <w:szCs w:val="28"/>
        </w:rPr>
        <w:t>01 листопада 2023 року</w:t>
      </w:r>
      <w:r>
        <w:rPr>
          <w:sz w:val="28"/>
          <w:szCs w:val="28"/>
        </w:rPr>
        <w:t xml:space="preserve"> провести ін</w:t>
      </w:r>
      <w:r w:rsidR="00AA253F">
        <w:rPr>
          <w:sz w:val="28"/>
          <w:szCs w:val="28"/>
        </w:rPr>
        <w:t xml:space="preserve">вентаризацію зелених насаджень </w:t>
      </w:r>
      <w:r>
        <w:rPr>
          <w:sz w:val="28"/>
          <w:szCs w:val="28"/>
        </w:rPr>
        <w:t>відповідно до Інструкції з інвентаризації зелених насаджень у населених пунктах України, затвердженої наказом Державного комітету будівництва, архітектури та житлової по</w:t>
      </w:r>
      <w:r w:rsidR="00AA253F">
        <w:rPr>
          <w:sz w:val="28"/>
          <w:szCs w:val="28"/>
        </w:rPr>
        <w:t>літики України від 24.12.2001 № </w:t>
      </w:r>
      <w:r>
        <w:rPr>
          <w:sz w:val="28"/>
          <w:szCs w:val="28"/>
        </w:rPr>
        <w:t>226 (зі змінами).</w:t>
      </w:r>
    </w:p>
    <w:p w:rsidR="00566E16" w:rsidRDefault="00AA253F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Визначити відповідальними за організацію робіт з проведення інвентаризації зелених насаджень </w:t>
      </w:r>
      <w:r w:rsidR="008E71A0">
        <w:rPr>
          <w:sz w:val="28"/>
          <w:szCs w:val="28"/>
        </w:rPr>
        <w:t>б</w:t>
      </w:r>
      <w:r w:rsidR="00C02CF2">
        <w:rPr>
          <w:sz w:val="28"/>
          <w:szCs w:val="28"/>
        </w:rPr>
        <w:t>алансоутримувачів об’єктів благоустрою міської комунальної власності:</w:t>
      </w:r>
    </w:p>
    <w:p w:rsidR="00566E16" w:rsidRDefault="00AA253F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2.1. </w:t>
      </w:r>
      <w:r w:rsidR="00C02CF2">
        <w:rPr>
          <w:sz w:val="28"/>
          <w:szCs w:val="28"/>
        </w:rPr>
        <w:t>Зелених насаджень загального користування (парки, сквери, бульвари, лісопарки та інші, які мають вільний доступ для відпочинку) та спеціального призначення (насадження транспортних магістралей і вулиць) – департамент житлово-комунального господарства.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2.2. </w:t>
      </w:r>
      <w:r w:rsidR="00C02CF2">
        <w:rPr>
          <w:sz w:val="28"/>
          <w:szCs w:val="28"/>
        </w:rPr>
        <w:t>Зелених насаджень на прибудинкових територіях ж</w:t>
      </w:r>
      <w:r>
        <w:rPr>
          <w:sz w:val="28"/>
          <w:szCs w:val="28"/>
        </w:rPr>
        <w:t xml:space="preserve">итлових будинків – </w:t>
      </w:r>
      <w:r w:rsidR="00C02CF2">
        <w:rPr>
          <w:sz w:val="28"/>
          <w:szCs w:val="28"/>
        </w:rPr>
        <w:t xml:space="preserve">ЖКП, ОСББ, ЖБК, ОСН та інші організації, які проводять управління будинками. 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2.3. </w:t>
      </w:r>
      <w:r w:rsidR="00C02CF2">
        <w:rPr>
          <w:sz w:val="28"/>
          <w:szCs w:val="28"/>
        </w:rPr>
        <w:t xml:space="preserve">Зелених насаджень на територіях природо-заповідного фонду, водоохоронних зон водних об’єктів </w:t>
      </w:r>
      <w:r>
        <w:rPr>
          <w:sz w:val="28"/>
          <w:szCs w:val="28"/>
        </w:rPr>
        <w:t>–</w:t>
      </w:r>
      <w:r w:rsidR="00C02CF2">
        <w:rPr>
          <w:sz w:val="28"/>
          <w:szCs w:val="28"/>
        </w:rPr>
        <w:t xml:space="preserve"> відділ екології.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2.4. </w:t>
      </w:r>
      <w:r w:rsidR="00C02CF2">
        <w:rPr>
          <w:sz w:val="28"/>
          <w:szCs w:val="28"/>
        </w:rPr>
        <w:t>Зелених насаджень обмеженого користування на територіях загальноосвітніх та дошкільних навчальних закладів – департамент освіти.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2.5. </w:t>
      </w:r>
      <w:r w:rsidR="00C02CF2">
        <w:rPr>
          <w:sz w:val="28"/>
          <w:szCs w:val="28"/>
        </w:rPr>
        <w:t>Зелених насаджень обмеженого користування на територіях закладів охорони здоров’я – управління охорони здоров’я.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 З</w:t>
      </w:r>
      <w:r w:rsidR="00C02CF2">
        <w:rPr>
          <w:sz w:val="28"/>
          <w:szCs w:val="28"/>
        </w:rPr>
        <w:t>елених насаджень обмеженого користування на територіях закладів культури – департамент культури.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2.7. </w:t>
      </w:r>
      <w:r w:rsidR="00C02CF2">
        <w:rPr>
          <w:sz w:val="28"/>
          <w:szCs w:val="28"/>
        </w:rPr>
        <w:t>Зелених насаджень обмеженого користування на територіях закладів молоді, фізичної культури та спорту – департамент молоді та спорту.</w:t>
      </w:r>
    </w:p>
    <w:p w:rsidR="00566E16" w:rsidRDefault="00C02CF2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1A0">
        <w:rPr>
          <w:sz w:val="28"/>
          <w:szCs w:val="28"/>
        </w:rPr>
        <w:t>3. </w:t>
      </w:r>
      <w:r>
        <w:rPr>
          <w:sz w:val="28"/>
          <w:szCs w:val="28"/>
        </w:rPr>
        <w:t>За результатами проведеної інвентаризації зелених насаджень, суб’єктам господарювання оформити паспорти об’єктів зеленого господарства у відповідності до Інструкції з інвентаризації зелених насаджень у населених пунктах України, затвердженої наказом Державного комітету будівництва, архітектури та житлової по</w:t>
      </w:r>
      <w:r w:rsidR="008E71A0">
        <w:rPr>
          <w:sz w:val="28"/>
          <w:szCs w:val="28"/>
        </w:rPr>
        <w:t>літики України від 24.12.2001 № </w:t>
      </w:r>
      <w:r>
        <w:rPr>
          <w:sz w:val="28"/>
          <w:szCs w:val="28"/>
        </w:rPr>
        <w:t>226 (зі змінами), щор</w:t>
      </w:r>
      <w:r w:rsidR="008E71A0">
        <w:rPr>
          <w:sz w:val="28"/>
          <w:szCs w:val="28"/>
        </w:rPr>
        <w:t>оку</w:t>
      </w:r>
      <w:r>
        <w:rPr>
          <w:sz w:val="28"/>
          <w:szCs w:val="28"/>
        </w:rPr>
        <w:t xml:space="preserve"> проводити обстеження зелених насаджень на підзвітній території та вносити дані у паспорти об’єктів зеленого господарства. 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r w:rsidR="00C02CF2">
        <w:rPr>
          <w:sz w:val="28"/>
          <w:szCs w:val="28"/>
        </w:rPr>
        <w:t xml:space="preserve">Відділу екології спільно з розробниками автоматизованої інформаційно-аналітичної системи (публічний портал про зелені насадження) провести навчання суб’єктам господарювання щодо роботи у </w:t>
      </w:r>
      <w:r>
        <w:rPr>
          <w:sz w:val="28"/>
          <w:szCs w:val="28"/>
        </w:rPr>
        <w:t>цій</w:t>
      </w:r>
      <w:r w:rsidR="00C02CF2">
        <w:rPr>
          <w:sz w:val="28"/>
          <w:szCs w:val="28"/>
        </w:rPr>
        <w:t xml:space="preserve"> системі.</w:t>
      </w:r>
    </w:p>
    <w:p w:rsidR="00566E16" w:rsidRDefault="008E71A0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="00C02CF2">
        <w:rPr>
          <w:sz w:val="28"/>
          <w:szCs w:val="28"/>
        </w:rPr>
        <w:t>Суб’єктам господарювання провести наповнення системи та в подальшому вносити необхідні зміни.</w:t>
      </w:r>
    </w:p>
    <w:p w:rsidR="00566E16" w:rsidRDefault="008E71A0" w:rsidP="002D121C">
      <w:pPr>
        <w:pStyle w:val="a8"/>
        <w:tabs>
          <w:tab w:val="left" w:pos="5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6. </w:t>
      </w:r>
      <w:r w:rsidR="00C02CF2">
        <w:rPr>
          <w:sz w:val="28"/>
          <w:szCs w:val="28"/>
        </w:rPr>
        <w:t>Балансоутримувачам, власникам та користувачам земельних ділянок, керівникам підприємств, установ, організацій усіх форм власності щор</w:t>
      </w:r>
      <w:r>
        <w:rPr>
          <w:sz w:val="28"/>
          <w:szCs w:val="28"/>
        </w:rPr>
        <w:t>оку</w:t>
      </w:r>
      <w:r w:rsidR="00C02CF2">
        <w:rPr>
          <w:sz w:val="28"/>
          <w:szCs w:val="28"/>
        </w:rPr>
        <w:t xml:space="preserve"> до 30 січня подавати до відділу екології інформацію про зелені насадження на території громади за попередній рік згідно </w:t>
      </w:r>
      <w:r>
        <w:rPr>
          <w:sz w:val="28"/>
          <w:szCs w:val="28"/>
        </w:rPr>
        <w:t xml:space="preserve">з </w:t>
      </w:r>
      <w:r w:rsidR="00C02CF2">
        <w:rPr>
          <w:sz w:val="28"/>
          <w:szCs w:val="28"/>
        </w:rPr>
        <w:t>форм</w:t>
      </w:r>
      <w:r>
        <w:rPr>
          <w:sz w:val="28"/>
          <w:szCs w:val="28"/>
        </w:rPr>
        <w:t>ою</w:t>
      </w:r>
      <w:r w:rsidR="009B1B31">
        <w:rPr>
          <w:sz w:val="28"/>
          <w:szCs w:val="28"/>
        </w:rPr>
        <w:t xml:space="preserve">, наведеною у </w:t>
      </w:r>
      <w:r w:rsidR="00C02CF2">
        <w:rPr>
          <w:sz w:val="28"/>
          <w:szCs w:val="28"/>
        </w:rPr>
        <w:t>додат</w:t>
      </w:r>
      <w:r w:rsidR="009B1B31">
        <w:rPr>
          <w:sz w:val="28"/>
          <w:szCs w:val="28"/>
        </w:rPr>
        <w:t>ку,</w:t>
      </w:r>
      <w:bookmarkStart w:id="0" w:name="_GoBack"/>
      <w:bookmarkEnd w:id="0"/>
      <w:r w:rsidR="00C02CF2">
        <w:rPr>
          <w:sz w:val="28"/>
          <w:szCs w:val="28"/>
        </w:rPr>
        <w:t xml:space="preserve"> та надавати електронні копії паспортів об’єктів зеленого господарства.</w:t>
      </w:r>
    </w:p>
    <w:p w:rsidR="00566E16" w:rsidRDefault="008E71A0" w:rsidP="002D121C">
      <w:pPr>
        <w:pStyle w:val="a8"/>
        <w:tabs>
          <w:tab w:val="left" w:pos="570"/>
        </w:tabs>
        <w:spacing w:after="12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7. </w:t>
      </w:r>
      <w:r w:rsidR="00C02CF2">
        <w:rPr>
          <w:sz w:val="28"/>
          <w:szCs w:val="28"/>
        </w:rPr>
        <w:t>Виконавчим органам міської ради довести це рішення до підприємств, установ, організацій відповідної галузі та забезпечити його виконання.</w:t>
      </w:r>
    </w:p>
    <w:p w:rsidR="00AA253F" w:rsidRDefault="008E71A0" w:rsidP="002D121C">
      <w:pPr>
        <w:pStyle w:val="a8"/>
        <w:tabs>
          <w:tab w:val="left" w:pos="570"/>
        </w:tabs>
        <w:spacing w:after="12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8. </w:t>
      </w:r>
      <w:r w:rsidR="00C02CF2">
        <w:rPr>
          <w:sz w:val="28"/>
          <w:szCs w:val="28"/>
        </w:rPr>
        <w:t>Управлінню інформаційної роботи до</w:t>
      </w:r>
      <w:r>
        <w:rPr>
          <w:sz w:val="28"/>
          <w:szCs w:val="28"/>
        </w:rPr>
        <w:t xml:space="preserve">вести </w:t>
      </w:r>
      <w:r w:rsidR="00C02CF2">
        <w:rPr>
          <w:sz w:val="28"/>
          <w:szCs w:val="28"/>
        </w:rPr>
        <w:t>рішення через засоби масової інформації до відома громадськості.</w:t>
      </w:r>
    </w:p>
    <w:p w:rsidR="00566E16" w:rsidRDefault="00C02CF2" w:rsidP="002D121C">
      <w:pPr>
        <w:pStyle w:val="a8"/>
        <w:tabs>
          <w:tab w:val="left" w:pos="570"/>
        </w:tabs>
        <w:spacing w:after="12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E71A0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>.</w:t>
      </w:r>
    </w:p>
    <w:p w:rsidR="00566E16" w:rsidRDefault="00566E16">
      <w:pPr>
        <w:tabs>
          <w:tab w:val="left" w:pos="540"/>
        </w:tabs>
        <w:jc w:val="both"/>
        <w:rPr>
          <w:sz w:val="28"/>
          <w:szCs w:val="28"/>
        </w:rPr>
      </w:pPr>
    </w:p>
    <w:p w:rsidR="002D121C" w:rsidRDefault="002D121C">
      <w:pPr>
        <w:tabs>
          <w:tab w:val="left" w:pos="540"/>
        </w:tabs>
        <w:jc w:val="both"/>
        <w:rPr>
          <w:sz w:val="28"/>
          <w:szCs w:val="28"/>
        </w:rPr>
      </w:pPr>
    </w:p>
    <w:p w:rsidR="00566E16" w:rsidRDefault="00C02CF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566E16" w:rsidRDefault="00566E16">
      <w:pPr>
        <w:tabs>
          <w:tab w:val="left" w:pos="540"/>
        </w:tabs>
        <w:jc w:val="both"/>
        <w:rPr>
          <w:sz w:val="28"/>
          <w:szCs w:val="28"/>
        </w:rPr>
      </w:pPr>
    </w:p>
    <w:p w:rsidR="00566E16" w:rsidRDefault="00C02CF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:rsidR="00566E16" w:rsidRDefault="00C02CF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566E16" w:rsidRDefault="00566E16">
      <w:pPr>
        <w:tabs>
          <w:tab w:val="left" w:pos="540"/>
        </w:tabs>
        <w:jc w:val="both"/>
      </w:pPr>
    </w:p>
    <w:p w:rsidR="00566E16" w:rsidRPr="009B1B31" w:rsidRDefault="00C02CF2">
      <w:pPr>
        <w:tabs>
          <w:tab w:val="left" w:pos="540"/>
        </w:tabs>
        <w:jc w:val="both"/>
        <w:rPr>
          <w:szCs w:val="28"/>
        </w:rPr>
      </w:pPr>
      <w:r>
        <w:t>Лисак 724 160</w:t>
      </w:r>
    </w:p>
    <w:sectPr w:rsidR="00566E16" w:rsidRPr="009B1B31" w:rsidSect="00F07537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B2" w:rsidRDefault="00AE5DB2" w:rsidP="00AA253F">
      <w:r>
        <w:separator/>
      </w:r>
    </w:p>
  </w:endnote>
  <w:endnote w:type="continuationSeparator" w:id="0">
    <w:p w:rsidR="00AE5DB2" w:rsidRDefault="00AE5DB2" w:rsidP="00A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B2" w:rsidRDefault="00AE5DB2" w:rsidP="00AA253F">
      <w:r>
        <w:separator/>
      </w:r>
    </w:p>
  </w:footnote>
  <w:footnote w:type="continuationSeparator" w:id="0">
    <w:p w:rsidR="00AE5DB2" w:rsidRDefault="00AE5DB2" w:rsidP="00AA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7879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253F" w:rsidRPr="00AA253F" w:rsidRDefault="00AA253F">
        <w:pPr>
          <w:pStyle w:val="ad"/>
          <w:jc w:val="center"/>
          <w:rPr>
            <w:sz w:val="28"/>
            <w:szCs w:val="28"/>
          </w:rPr>
        </w:pPr>
        <w:r w:rsidRPr="00AA253F">
          <w:rPr>
            <w:sz w:val="28"/>
            <w:szCs w:val="28"/>
          </w:rPr>
          <w:fldChar w:fldCharType="begin"/>
        </w:r>
        <w:r w:rsidRPr="00AA253F">
          <w:rPr>
            <w:sz w:val="28"/>
            <w:szCs w:val="28"/>
          </w:rPr>
          <w:instrText>PAGE   \* MERGEFORMAT</w:instrText>
        </w:r>
        <w:r w:rsidRPr="00AA253F">
          <w:rPr>
            <w:sz w:val="28"/>
            <w:szCs w:val="28"/>
          </w:rPr>
          <w:fldChar w:fldCharType="separate"/>
        </w:r>
        <w:r w:rsidR="009B1B31" w:rsidRPr="009B1B31">
          <w:rPr>
            <w:noProof/>
            <w:sz w:val="28"/>
            <w:szCs w:val="28"/>
            <w:lang w:val="ru-RU"/>
          </w:rPr>
          <w:t>2</w:t>
        </w:r>
        <w:r w:rsidRPr="00AA253F">
          <w:rPr>
            <w:sz w:val="28"/>
            <w:szCs w:val="28"/>
          </w:rPr>
          <w:fldChar w:fldCharType="end"/>
        </w:r>
      </w:p>
    </w:sdtContent>
  </w:sdt>
  <w:p w:rsidR="00AA253F" w:rsidRDefault="00AA253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16"/>
    <w:rsid w:val="002D121C"/>
    <w:rsid w:val="00566E16"/>
    <w:rsid w:val="00632A63"/>
    <w:rsid w:val="0072590D"/>
    <w:rsid w:val="008E71A0"/>
    <w:rsid w:val="009B1B31"/>
    <w:rsid w:val="00AA253F"/>
    <w:rsid w:val="00AE5DB2"/>
    <w:rsid w:val="00BE6609"/>
    <w:rsid w:val="00C02CF2"/>
    <w:rsid w:val="00E736F2"/>
    <w:rsid w:val="00F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a5">
    <w:name w:val="Гіперпосилання"/>
    <w:rsid w:val="00403E6F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a5">
    <w:name w:val="Гіперпосилання"/>
    <w:rsid w:val="00403E6F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4975-3F3B-4046-B48A-D5173066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19</cp:revision>
  <cp:lastPrinted>2022-05-30T14:19:00Z</cp:lastPrinted>
  <dcterms:created xsi:type="dcterms:W3CDTF">2022-06-06T08:38:00Z</dcterms:created>
  <dcterms:modified xsi:type="dcterms:W3CDTF">2022-07-05T13:01:00Z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