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149CDD" w14:textId="77777777" w:rsidR="00F6427E" w:rsidRDefault="00000000">
      <w:pPr>
        <w:spacing w:before="34"/>
        <w:ind w:left="1911" w:right="1207"/>
        <w:jc w:val="center"/>
        <w:rPr>
          <w:rFonts w:ascii="Times New Roman" w:hAnsi="Times New Roman"/>
          <w:color w:val="000000"/>
          <w:sz w:val="28"/>
          <w:szCs w:val="28"/>
        </w:rPr>
      </w:pPr>
      <w:r>
        <w:rPr>
          <w:rFonts w:ascii="Times New Roman" w:eastAsia="Times New Roman" w:hAnsi="Times New Roman" w:cs="Times New Roman"/>
          <w:b/>
          <w:color w:val="000000"/>
          <w:spacing w:val="-2"/>
          <w:sz w:val="28"/>
          <w:szCs w:val="28"/>
        </w:rPr>
        <w:t xml:space="preserve">Інформація </w:t>
      </w:r>
      <w:r>
        <w:rPr>
          <w:rFonts w:ascii="Times New Roman" w:eastAsia="Times New Roman" w:hAnsi="Times New Roman" w:cs="Times New Roman"/>
          <w:b/>
          <w:color w:val="000000"/>
          <w:spacing w:val="-1"/>
          <w:sz w:val="28"/>
          <w:szCs w:val="28"/>
        </w:rPr>
        <w:t>про</w:t>
      </w:r>
      <w:r>
        <w:rPr>
          <w:rFonts w:ascii="Times New Roman" w:eastAsia="Times New Roman" w:hAnsi="Times New Roman" w:cs="Times New Roman"/>
          <w:b/>
          <w:color w:val="000000"/>
          <w:spacing w:val="1"/>
          <w:sz w:val="28"/>
          <w:szCs w:val="28"/>
        </w:rPr>
        <w:t xml:space="preserve"> результати роботи</w:t>
      </w:r>
    </w:p>
    <w:p w14:paraId="18D292D2" w14:textId="77777777" w:rsidR="00F6427E" w:rsidRDefault="00000000">
      <w:pPr>
        <w:spacing w:before="34"/>
        <w:ind w:left="1928" w:right="1191" w:hanging="1247"/>
        <w:jc w:val="center"/>
        <w:rPr>
          <w:rFonts w:ascii="Times New Roman" w:hAnsi="Times New Roman"/>
          <w:color w:val="000000"/>
          <w:sz w:val="28"/>
          <w:szCs w:val="28"/>
        </w:rPr>
      </w:pPr>
      <w:r>
        <w:rPr>
          <w:rFonts w:ascii="Times New Roman" w:eastAsia="Times New Roman" w:hAnsi="Times New Roman" w:cs="Times New Roman"/>
          <w:b/>
          <w:color w:val="000000"/>
          <w:spacing w:val="1"/>
          <w:sz w:val="28"/>
          <w:szCs w:val="28"/>
        </w:rPr>
        <w:t>відділу державного архітектурно-будівельного контролю за підсумками 2022 року</w:t>
      </w:r>
    </w:p>
    <w:p w14:paraId="61572F2B" w14:textId="77777777" w:rsidR="00F6427E" w:rsidRDefault="00F6427E">
      <w:pPr>
        <w:spacing w:before="11"/>
        <w:jc w:val="both"/>
        <w:rPr>
          <w:rFonts w:ascii="Times New Roman" w:eastAsia="Times New Roman" w:hAnsi="Times New Roman" w:cs="Times New Roman"/>
          <w:b/>
          <w:color w:val="000000"/>
          <w:sz w:val="28"/>
          <w:szCs w:val="28"/>
        </w:rPr>
      </w:pPr>
    </w:p>
    <w:p w14:paraId="68B97D41"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 xml:space="preserve">Відповідно до статті 31 Закону України «Про місцеве самоврядування» надання (отримання, реєстрація) документів, що дають право на виконання підготовчих та будівельних робіт, здійснення державного архітектурно-будівельного контролю та прийняття в експлуатацію закінчених будівництвом об’єктів у випадках та відповідно до вимог, встановлених Законом України «Про регулювання містобудівної діяльності», відноситься до делегованих повноважень виконавчих органів місцевого самоврядування. </w:t>
      </w:r>
    </w:p>
    <w:p w14:paraId="2F071163"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З 31.12.2015 функції державного архітектурно-будівельного контролю на об’єктах класу наслідків СС1 та СС2 в межах міста Луцька здійснюється відділом державного архітектурно-будівельного контролю Луцької міської ради (далі – Відділ).</w:t>
      </w:r>
    </w:p>
    <w:p w14:paraId="3D32D696" w14:textId="0A6F965C"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Надання відповідних послуг та контроль у сфері містобудівної діяльності здійснюється відповідно до вимог законів України «Про регулювання містобудівної діяльності», «Про дозвільну систему у сфері господарської діяльності», постанов Кабінету Міністрів України «Питання прийняття в експлуатацію закінчених будівництвом об’єктів», «Деякі питання виконання підготовчих та будівельних робіт»</w:t>
      </w:r>
      <w:r w:rsidR="00912F67" w:rsidRPr="00A63537">
        <w:rPr>
          <w:rFonts w:ascii="Times New Roman" w:hAnsi="Times New Roman" w:cs="Times New Roman"/>
          <w:sz w:val="28"/>
          <w:szCs w:val="28"/>
        </w:rPr>
        <w:t>,</w:t>
      </w:r>
      <w:r w:rsidR="00E2339A" w:rsidRPr="00A63537">
        <w:rPr>
          <w:rFonts w:ascii="Times New Roman" w:hAnsi="Times New Roman" w:cs="Times New Roman"/>
          <w:sz w:val="28"/>
          <w:szCs w:val="28"/>
        </w:rPr>
        <w:t xml:space="preserve"> «Про затвердження </w:t>
      </w:r>
      <w:r w:rsidRPr="00A63537">
        <w:rPr>
          <w:rFonts w:ascii="Times New Roman" w:hAnsi="Times New Roman" w:cs="Times New Roman"/>
          <w:sz w:val="28"/>
          <w:szCs w:val="28"/>
        </w:rPr>
        <w:t>Порядку здійснення державного архітектурно-будівельного контролю</w:t>
      </w:r>
      <w:r w:rsidR="00E2339A" w:rsidRPr="00A63537">
        <w:rPr>
          <w:rFonts w:ascii="Times New Roman" w:hAnsi="Times New Roman" w:cs="Times New Roman"/>
          <w:sz w:val="28"/>
          <w:szCs w:val="28"/>
        </w:rPr>
        <w:t>»</w:t>
      </w:r>
      <w:r w:rsidRPr="00A63537">
        <w:rPr>
          <w:rFonts w:ascii="Times New Roman" w:hAnsi="Times New Roman" w:cs="Times New Roman"/>
          <w:sz w:val="28"/>
          <w:szCs w:val="28"/>
        </w:rPr>
        <w:t>.</w:t>
      </w:r>
    </w:p>
    <w:p w14:paraId="625F073D"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Відділ діє відповідно до покладених на нього завдань, а саме:</w:t>
      </w:r>
    </w:p>
    <w:p w14:paraId="72A5ABB0"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надає, отримує документи, що дають право на виконання підготовчих та будівельних робіт, відмовляє у видачі таких документів, анулює їх, скасовує їх реєстрацію;</w:t>
      </w:r>
    </w:p>
    <w:p w14:paraId="58B87ACB"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приймає в експлуатацію закінчені будівництвом об’єкти;</w:t>
      </w:r>
    </w:p>
    <w:p w14:paraId="384BA154"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здійснює державний архітектурно-будівельний контроль за дотриманням законодавства у сфері містобудівної діяльності, будівельних норм, стандартів і правил щодо об’єктів та суб’єктів будівництва, розташованих у межах відповідних населених пунктів шляхом проведення планових та позапланових перевірок;</w:t>
      </w:r>
    </w:p>
    <w:p w14:paraId="4878D65A"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розглядає відповідно до закону справи про адміністративні правопорушення та правопорушення у сфері містобудівної діяльності із прийняттям відповідних рішень.</w:t>
      </w:r>
    </w:p>
    <w:p w14:paraId="5EC4156F"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 xml:space="preserve">У лютому 2022 року розпочалась повномасштабна війна. Агресія російської федерації вплинула на усі сфери життя, в тому числі й на сферу містобудівної діяльності. У перші дні та тижні початку активної фази війни відбулось призупинення надання послуг, що вчиняються за допомогою державних реєстрів.  </w:t>
      </w:r>
    </w:p>
    <w:p w14:paraId="23771BE4"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Після поступового відновлення роботи державних реєстрів у звітному році до Єдиної державної електронної системи у сфері будівництва було внесено 490 документів, серед яких:</w:t>
      </w:r>
    </w:p>
    <w:p w14:paraId="2B75C821"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повідомлення про початок виконання підготовчих робіт – 3;</w:t>
      </w:r>
    </w:p>
    <w:p w14:paraId="608B6CB5"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повідомлення про початок виконання будівельних робіт – 147;</w:t>
      </w:r>
    </w:p>
    <w:p w14:paraId="5FD649F9"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lastRenderedPageBreak/>
        <w:t>декларація про готовність до експлуатації об’єкта – 161;</w:t>
      </w:r>
    </w:p>
    <w:p w14:paraId="3AE0B6B7"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дозвіл на виконання будівельних робіт – 14;</w:t>
      </w:r>
    </w:p>
    <w:p w14:paraId="59CE5B7A"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сертифікат про готовність об’єкта до експлуатації – 12;</w:t>
      </w:r>
    </w:p>
    <w:p w14:paraId="5C983EB8"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інші послуги (внесення змін до дозвільних документів) – 16;</w:t>
      </w:r>
    </w:p>
    <w:p w14:paraId="57AB0C28"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повернення на доопрацювання декларації про готовність до експлуатації об’єкта – 55;</w:t>
      </w:r>
    </w:p>
    <w:p w14:paraId="57FE4946"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відмова у видачі дозволу – 12;</w:t>
      </w:r>
    </w:p>
    <w:p w14:paraId="514DEE1A"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відмова у видачі сертифіката – 8;</w:t>
      </w:r>
    </w:p>
    <w:p w14:paraId="35B435F6"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повернення на доопрацювання повідомлень про початок виконання будівельних робіт – 62;</w:t>
      </w:r>
    </w:p>
    <w:p w14:paraId="5D86E207"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 xml:space="preserve">За звітний період видано 14 дозволів на виконання будівельних робіт. </w:t>
      </w:r>
    </w:p>
    <w:p w14:paraId="1A9A0135"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Нове будівництво багатоквартирних житлових будинків з вбудовано-прибудованими приміщеннями громадського призначення на вул. Рівненській, 119 у м. Луцьку, будівництво багатоквартирного житлового будинку на вул. Залізничній, 16 у м. Луцьку, будівництво багатоквартирного житлового будинку з вбудовано-прибудованими приміщеннями на вул. Олекси Ошуркевича, 1-а, 1-б, 1-в у м. Луцьку та будівництво                        108-квартирного житлового будинку на вул. Даньшина, 52 у м. Луцьку.</w:t>
      </w:r>
    </w:p>
    <w:p w14:paraId="212D1FDA"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Капітальний ремонт дошкільного навчального закладу № 11 Луцької міської ради на пр-ті Соборності, 6а у м. Луцьку та дошкільного навчального закладу № 7 на вул. Кременецькій, 24 у м. Луцьку.</w:t>
      </w:r>
    </w:p>
    <w:p w14:paraId="5B2BC09D"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Реконструкція системи киснепостачання з встановленням модульної кисневої станції КП «Медичне об’єднання Луцької міської територіальної громади» на вул. Гулака-Артемовського, 18 у м. Луцьку.</w:t>
      </w:r>
    </w:p>
    <w:p w14:paraId="38893FBF"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 xml:space="preserve">Видано 12 сертифікатів про готовність об’єкта до  експлуатації. </w:t>
      </w:r>
    </w:p>
    <w:p w14:paraId="045F4DC5"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Здано в експлуатацію багатоквартирний житловий будинок на вул. Даньшина, 52 в м. Луцьку, (І-ша черга), загальною площею 3194,6 кв.м/площею квартир 2236,5 кв.м, кількість 36 квартир.</w:t>
      </w:r>
    </w:p>
    <w:p w14:paraId="573727B3"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 xml:space="preserve">Проведено капітальний ремонт (термомодернізація) об’єктів соціальної інфраструктури Луцької міської ради (утеплення фасадів – 6602,5 кв.м) та проведено капітальний ремонт дошкільних навчальних закладів, а саме: </w:t>
      </w:r>
    </w:p>
    <w:p w14:paraId="79FAF383" w14:textId="1609713E"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 xml:space="preserve">капітальний ремонт (термомодернізацію) дошкільного навчального закладу № 5 Луцької міської ради на вул. Даргомижського, 5а у м. Луцьку та комунального закладу </w:t>
      </w:r>
      <w:r w:rsidR="00FF0E6B" w:rsidRPr="00A63537">
        <w:rPr>
          <w:rFonts w:ascii="Times New Roman" w:hAnsi="Times New Roman" w:cs="Times New Roman"/>
          <w:sz w:val="28"/>
          <w:szCs w:val="28"/>
        </w:rPr>
        <w:t>«</w:t>
      </w:r>
      <w:r w:rsidRPr="00A63537">
        <w:rPr>
          <w:rFonts w:ascii="Times New Roman" w:hAnsi="Times New Roman" w:cs="Times New Roman"/>
          <w:sz w:val="28"/>
          <w:szCs w:val="28"/>
        </w:rPr>
        <w:t>Луцький навчально-виховний комплекс загальноосвітня школа І-II ступенів № 10 – професійний ліцей Луцької міської ради</w:t>
      </w:r>
      <w:r w:rsidR="00FF0E6B" w:rsidRPr="00A63537">
        <w:rPr>
          <w:rFonts w:ascii="Times New Roman" w:hAnsi="Times New Roman" w:cs="Times New Roman"/>
          <w:sz w:val="28"/>
          <w:szCs w:val="28"/>
        </w:rPr>
        <w:t>»</w:t>
      </w:r>
      <w:r w:rsidRPr="00A63537">
        <w:rPr>
          <w:rFonts w:ascii="Times New Roman" w:hAnsi="Times New Roman" w:cs="Times New Roman"/>
          <w:sz w:val="28"/>
          <w:szCs w:val="28"/>
        </w:rPr>
        <w:t xml:space="preserve"> на вул. Ветеранів, 5 у м. Луцьку;</w:t>
      </w:r>
    </w:p>
    <w:p w14:paraId="2B5CE19A"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капітальний ремонт дошкільного навчального закладу № 11 Луцької міської ради на пр-ті Соборності, 6а у м. Луцьку та дошкільного навчального закладу № 20 Луцької міської ради на проспекті Соборності, 35а у м. Луцьку.</w:t>
      </w:r>
    </w:p>
    <w:p w14:paraId="254791E9"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Законодавством передбачено плату за видачу сертифікатів про готовність об’єкта до експлуатації. До місцевого бюджету надійшло 138,6 тис. грн.</w:t>
      </w:r>
    </w:p>
    <w:p w14:paraId="45B55DA1"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Протягом звітного періоду вживалися відповідні заходи щодо виконання вимог Закону України «Про звернення громадян». На звернення, що надійшли, вжито належних заходів, надано вичерпні відповіді та пояснення.</w:t>
      </w:r>
    </w:p>
    <w:p w14:paraId="59D5B5FD" w14:textId="2F93A58A"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За звітний період робота зі зверненням</w:t>
      </w:r>
      <w:r w:rsidR="00FF0E6B" w:rsidRPr="00A63537">
        <w:rPr>
          <w:rFonts w:ascii="Times New Roman" w:hAnsi="Times New Roman" w:cs="Times New Roman"/>
          <w:sz w:val="28"/>
          <w:szCs w:val="28"/>
        </w:rPr>
        <w:t>и</w:t>
      </w:r>
      <w:r w:rsidRPr="00A63537">
        <w:rPr>
          <w:rFonts w:ascii="Times New Roman" w:hAnsi="Times New Roman" w:cs="Times New Roman"/>
          <w:sz w:val="28"/>
          <w:szCs w:val="28"/>
        </w:rPr>
        <w:t xml:space="preserve"> громадян проводилась, зокрема</w:t>
      </w:r>
      <w:r w:rsidR="00FF0E6B" w:rsidRPr="00A63537">
        <w:rPr>
          <w:rFonts w:ascii="Times New Roman" w:hAnsi="Times New Roman" w:cs="Times New Roman"/>
          <w:sz w:val="28"/>
          <w:szCs w:val="28"/>
        </w:rPr>
        <w:t xml:space="preserve"> </w:t>
      </w:r>
      <w:r w:rsidR="00FF0E6B" w:rsidRPr="00A63537">
        <w:rPr>
          <w:rFonts w:ascii="Times New Roman" w:hAnsi="Times New Roman" w:cs="Times New Roman"/>
          <w:sz w:val="28"/>
          <w:szCs w:val="28"/>
        </w:rPr>
        <w:lastRenderedPageBreak/>
        <w:t xml:space="preserve">в </w:t>
      </w:r>
      <w:r w:rsidRPr="00A63537">
        <w:rPr>
          <w:rFonts w:ascii="Times New Roman" w:hAnsi="Times New Roman" w:cs="Times New Roman"/>
          <w:sz w:val="28"/>
          <w:szCs w:val="28"/>
        </w:rPr>
        <w:t>телефон</w:t>
      </w:r>
      <w:r w:rsidR="00FF0E6B" w:rsidRPr="00A63537">
        <w:rPr>
          <w:rFonts w:ascii="Times New Roman" w:hAnsi="Times New Roman" w:cs="Times New Roman"/>
          <w:sz w:val="28"/>
          <w:szCs w:val="28"/>
        </w:rPr>
        <w:t>ному режимі</w:t>
      </w:r>
      <w:r w:rsidRPr="00A63537">
        <w:rPr>
          <w:rFonts w:ascii="Times New Roman" w:hAnsi="Times New Roman" w:cs="Times New Roman"/>
          <w:sz w:val="28"/>
          <w:szCs w:val="28"/>
        </w:rPr>
        <w:t xml:space="preserve">, </w:t>
      </w:r>
      <w:r w:rsidR="00FF0E6B" w:rsidRPr="00A63537">
        <w:rPr>
          <w:rFonts w:ascii="Times New Roman" w:hAnsi="Times New Roman" w:cs="Times New Roman"/>
          <w:sz w:val="28"/>
          <w:szCs w:val="28"/>
        </w:rPr>
        <w:t xml:space="preserve">через </w:t>
      </w:r>
      <w:r w:rsidRPr="00A63537">
        <w:rPr>
          <w:rFonts w:ascii="Times New Roman" w:hAnsi="Times New Roman" w:cs="Times New Roman"/>
          <w:sz w:val="28"/>
          <w:szCs w:val="28"/>
        </w:rPr>
        <w:t>електронн</w:t>
      </w:r>
      <w:r w:rsidR="00FF0E6B" w:rsidRPr="00A63537">
        <w:rPr>
          <w:rFonts w:ascii="Times New Roman" w:hAnsi="Times New Roman" w:cs="Times New Roman"/>
          <w:sz w:val="28"/>
          <w:szCs w:val="28"/>
        </w:rPr>
        <w:t>у пошту</w:t>
      </w:r>
      <w:r w:rsidRPr="00A63537">
        <w:rPr>
          <w:rFonts w:ascii="Times New Roman" w:hAnsi="Times New Roman" w:cs="Times New Roman"/>
          <w:sz w:val="28"/>
          <w:szCs w:val="28"/>
        </w:rPr>
        <w:t xml:space="preserve"> та на особистих прийомах керівництвом відділу для забезпечення їх оперативного всебічного розгляду та вирішення порушених в них питань</w:t>
      </w:r>
      <w:r w:rsidR="00FF0E6B" w:rsidRPr="00A63537">
        <w:rPr>
          <w:rFonts w:ascii="Times New Roman" w:hAnsi="Times New Roman" w:cs="Times New Roman"/>
          <w:sz w:val="28"/>
          <w:szCs w:val="28"/>
        </w:rPr>
        <w:t>.</w:t>
      </w:r>
      <w:r w:rsidRPr="00A63537">
        <w:rPr>
          <w:rFonts w:ascii="Times New Roman" w:hAnsi="Times New Roman" w:cs="Times New Roman"/>
          <w:sz w:val="28"/>
          <w:szCs w:val="28"/>
        </w:rPr>
        <w:t xml:space="preserve"> </w:t>
      </w:r>
    </w:p>
    <w:p w14:paraId="76B39634"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Протягом 2022 року здійснювались планові та позапланові перевірки за результатами звернень громадян, перевірка достовірності даних, наведених у повідомленнях та деклараціях про початок виконання підготовчих або будівельних робіт, фактами виявлення самочинного будівництва та контроль за виконанням термінів дії приписів про усунення порушень у сфері містобудування.</w:t>
      </w:r>
    </w:p>
    <w:p w14:paraId="62964D4A"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Відповідно до абз. 2 частини 1 статті 41 Закону України «Про регулювання містобудівної діяльності» порядок здійснення архітектурно-будівельного контролю визначається Кабінетом Міністрів України. Цей порядок затверджений постановою Кабінету Міністрів України від 23.05.2011 № 553.</w:t>
      </w:r>
    </w:p>
    <w:p w14:paraId="3B1FE839" w14:textId="77777777" w:rsidR="00F6427E" w:rsidRPr="00A63537" w:rsidRDefault="00000000" w:rsidP="00A63537">
      <w:pPr>
        <w:ind w:firstLine="567"/>
        <w:jc w:val="both"/>
        <w:rPr>
          <w:rFonts w:ascii="Times New Roman" w:hAnsi="Times New Roman" w:cs="Times New Roman"/>
          <w:sz w:val="28"/>
          <w:szCs w:val="28"/>
        </w:rPr>
      </w:pPr>
      <w:bookmarkStart w:id="0" w:name="_GoBack1"/>
      <w:bookmarkEnd w:id="0"/>
      <w:r w:rsidRPr="00A63537">
        <w:rPr>
          <w:rFonts w:ascii="Times New Roman" w:hAnsi="Times New Roman" w:cs="Times New Roman"/>
          <w:sz w:val="28"/>
          <w:szCs w:val="28"/>
        </w:rPr>
        <w:t>У період з 01.01.2022 по 24.02.2022 Відділом було призначено та проведено 16 позапланових та одна планова перевірки, з них: на п’яти об’єктах будівництва було виявлено порушення вимог законодавства у сфері містобудівної діяльності; на 12 об’єктах порушень виявлено не було.</w:t>
      </w:r>
    </w:p>
    <w:p w14:paraId="521CB277"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 xml:space="preserve">Переважна кількість правопорушень на об’єктах будівництва стосується факту самочинного будівництва без дозвільних документів. </w:t>
      </w:r>
    </w:p>
    <w:p w14:paraId="31F75E51" w14:textId="0932694E"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 xml:space="preserve">Варто зазначити, що Кабінет Міністрів України постановою від 13.03.2022 № 303 ухвалив рішення припинити проведення планових та позапланових заходів державного нагляду (контролю) і державного ринкового нагляду на період воєнного стану, у зв’язку з чим відділ державного архітектурно-будівельного контролю був позбавлений можливості здійснення планових та позапланових перевірок на території міста. </w:t>
      </w:r>
    </w:p>
    <w:p w14:paraId="79EA1028"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 xml:space="preserve">Разом із цим, комісією з питань виявлення та запобігання незаконного будівництва, яка була затверджена рішенням виконавчого комітету Луцької міської ради, за зверненнями громадян були здійснені виїзди на об’єкти незаконного будівництва, за результатами роботи комісії складено 14 актів огляду. </w:t>
      </w:r>
    </w:p>
    <w:p w14:paraId="237ABA5B" w14:textId="77777777" w:rsidR="00F6427E" w:rsidRPr="00A63537" w:rsidRDefault="00000000" w:rsidP="00A63537">
      <w:pPr>
        <w:ind w:firstLine="567"/>
        <w:jc w:val="both"/>
        <w:rPr>
          <w:rFonts w:ascii="Times New Roman" w:hAnsi="Times New Roman" w:cs="Times New Roman"/>
          <w:sz w:val="28"/>
          <w:szCs w:val="28"/>
        </w:rPr>
      </w:pPr>
      <w:r w:rsidRPr="00A63537">
        <w:rPr>
          <w:rFonts w:ascii="Times New Roman" w:hAnsi="Times New Roman" w:cs="Times New Roman"/>
          <w:sz w:val="28"/>
          <w:szCs w:val="28"/>
        </w:rPr>
        <w:t>Впродовж 2022 року в судах перебувало 11 адміністративних та цивільних судових справ, з яких у трьох справах розгляд був завершений, а у восьми справах провадження ще триває.</w:t>
      </w:r>
    </w:p>
    <w:p w14:paraId="364BF739" w14:textId="77777777" w:rsidR="00F6427E" w:rsidRDefault="00F6427E">
      <w:pPr>
        <w:ind w:firstLine="567"/>
        <w:jc w:val="both"/>
        <w:rPr>
          <w:rFonts w:ascii="Times New Roman" w:hAnsi="Times New Roman"/>
          <w:color w:val="000000"/>
          <w:sz w:val="28"/>
          <w:szCs w:val="28"/>
        </w:rPr>
      </w:pPr>
    </w:p>
    <w:p w14:paraId="1B580819" w14:textId="77777777" w:rsidR="00F6427E" w:rsidRDefault="00F6427E">
      <w:pPr>
        <w:ind w:right="6180"/>
        <w:jc w:val="both"/>
        <w:rPr>
          <w:rFonts w:ascii="Times New Roman" w:eastAsia="Times New Roman" w:hAnsi="Times New Roman" w:cs="Times New Roman"/>
          <w:color w:val="000000"/>
          <w:sz w:val="28"/>
          <w:szCs w:val="28"/>
        </w:rPr>
      </w:pPr>
    </w:p>
    <w:p w14:paraId="1B3B5803" w14:textId="77777777" w:rsidR="00F6427E" w:rsidRDefault="00F6427E">
      <w:pPr>
        <w:ind w:right="6180"/>
        <w:jc w:val="both"/>
        <w:rPr>
          <w:rFonts w:ascii="Times New Roman" w:eastAsia="Times New Roman" w:hAnsi="Times New Roman" w:cs="Times New Roman"/>
          <w:color w:val="000000"/>
          <w:sz w:val="28"/>
          <w:szCs w:val="28"/>
        </w:rPr>
      </w:pPr>
    </w:p>
    <w:p w14:paraId="4EAC3604" w14:textId="77777777" w:rsidR="00F6427E" w:rsidRDefault="00000000">
      <w:pPr>
        <w:ind w:right="6180"/>
        <w:jc w:val="both"/>
        <w:rPr>
          <w:rFonts w:ascii="Times New Roman" w:hAnsi="Times New Roman"/>
          <w:color w:val="000000"/>
          <w:sz w:val="28"/>
          <w:szCs w:val="28"/>
        </w:rPr>
      </w:pPr>
      <w:r>
        <w:rPr>
          <w:rFonts w:ascii="Times New Roman" w:eastAsia="Times New Roman" w:hAnsi="Times New Roman" w:cs="Times New Roman"/>
          <w:color w:val="000000"/>
          <w:sz w:val="28"/>
          <w:szCs w:val="28"/>
        </w:rPr>
        <w:t>Начальник відділу</w:t>
      </w:r>
    </w:p>
    <w:p w14:paraId="3FA129DE" w14:textId="77777777" w:rsidR="00F6427E" w:rsidRDefault="00000000">
      <w:pPr>
        <w:ind w:right="6180"/>
        <w:jc w:val="both"/>
        <w:rPr>
          <w:rFonts w:ascii="Times New Roman" w:hAnsi="Times New Roman"/>
          <w:color w:val="000000"/>
          <w:sz w:val="28"/>
          <w:szCs w:val="28"/>
        </w:rPr>
      </w:pPr>
      <w:r>
        <w:rPr>
          <w:rFonts w:ascii="Times New Roman" w:eastAsia="Times New Roman" w:hAnsi="Times New Roman" w:cs="Times New Roman"/>
          <w:color w:val="000000"/>
          <w:sz w:val="28"/>
          <w:szCs w:val="28"/>
        </w:rPr>
        <w:t>державного архітектурно-</w:t>
      </w:r>
    </w:p>
    <w:p w14:paraId="24D01180" w14:textId="77777777" w:rsidR="00F6427E" w:rsidRDefault="00000000">
      <w:pPr>
        <w:tabs>
          <w:tab w:val="left" w:pos="120"/>
          <w:tab w:val="left" w:pos="7497"/>
        </w:tabs>
        <w:jc w:val="both"/>
        <w:rPr>
          <w:rFonts w:ascii="Times New Roman" w:hAnsi="Times New Roman"/>
          <w:color w:val="000000"/>
          <w:sz w:val="28"/>
          <w:szCs w:val="28"/>
        </w:rPr>
      </w:pPr>
      <w:r>
        <w:rPr>
          <w:rFonts w:ascii="Times New Roman" w:eastAsia="Times New Roman" w:hAnsi="Times New Roman" w:cs="Times New Roman"/>
          <w:color w:val="000000"/>
          <w:sz w:val="28"/>
          <w:szCs w:val="28"/>
        </w:rPr>
        <w:t>будівельного контролю                                                      Владислав ТРОЦЬ</w:t>
      </w:r>
    </w:p>
    <w:sectPr w:rsidR="00F6427E" w:rsidSect="00E2339A">
      <w:headerReference w:type="default" r:id="rId6"/>
      <w:pgSz w:w="11906" w:h="16838"/>
      <w:pgMar w:top="1134" w:right="567" w:bottom="1134" w:left="1985" w:header="567" w:footer="0"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6B1A" w14:textId="77777777" w:rsidR="0080240B" w:rsidRDefault="0080240B">
      <w:r>
        <w:separator/>
      </w:r>
    </w:p>
  </w:endnote>
  <w:endnote w:type="continuationSeparator" w:id="0">
    <w:p w14:paraId="31E65194" w14:textId="77777777" w:rsidR="0080240B" w:rsidRDefault="0080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0;Times New Roman">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angal;Liberation Mono">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E1606" w14:textId="77777777" w:rsidR="0080240B" w:rsidRDefault="0080240B">
      <w:r>
        <w:separator/>
      </w:r>
    </w:p>
  </w:footnote>
  <w:footnote w:type="continuationSeparator" w:id="0">
    <w:p w14:paraId="05F03949" w14:textId="77777777" w:rsidR="0080240B" w:rsidRDefault="00802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729950"/>
      <w:docPartObj>
        <w:docPartGallery w:val="Page Numbers (Top of Page)"/>
        <w:docPartUnique/>
      </w:docPartObj>
    </w:sdtPr>
    <w:sdtContent>
      <w:p w14:paraId="746F9D9C" w14:textId="77777777" w:rsidR="00F6427E" w:rsidRDefault="00000000">
        <w:pPr>
          <w:pStyle w:val="af0"/>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p>
    </w:sdtContent>
  </w:sdt>
  <w:p w14:paraId="78FE6440" w14:textId="77777777" w:rsidR="00F6427E" w:rsidRDefault="00F6427E">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F6427E"/>
    <w:rsid w:val="00151618"/>
    <w:rsid w:val="006074A8"/>
    <w:rsid w:val="0080240B"/>
    <w:rsid w:val="00912F67"/>
    <w:rsid w:val="00952D53"/>
    <w:rsid w:val="009A6058"/>
    <w:rsid w:val="00A1786C"/>
    <w:rsid w:val="00A63537"/>
    <w:rsid w:val="00A64572"/>
    <w:rsid w:val="00B144D8"/>
    <w:rsid w:val="00E2339A"/>
    <w:rsid w:val="00F6427E"/>
    <w:rsid w:val="00FF0E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2FC9"/>
  <w15:docId w15:val="{C3246B2B-88EE-4830-ACBC-B57EDE15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Liberation Serif" w:cs="Liberation Serif"/>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eastAsia="Times New Roman" w:hAnsi="Symbol" w:cs="Symbol"/>
      <w:caps w:val="0"/>
      <w:smallCaps w:val="0"/>
      <w:color w:val="000000"/>
      <w:spacing w:val="-2"/>
      <w:w w:val="100"/>
      <w:kern w:val="2"/>
      <w:sz w:val="28"/>
      <w:szCs w:val="28"/>
      <w:lang w:val="uk-UA" w:eastAsia="zh-CN" w:bidi="hi-IN"/>
    </w:rPr>
  </w:style>
  <w:style w:type="character" w:customStyle="1" w:styleId="WW8Num1z1">
    <w:name w:val="WW8Num1z1"/>
    <w:qFormat/>
    <w:rPr>
      <w:rFonts w:ascii="0;Times New Roman" w:hAnsi="0;Times New Roman" w:cs="0;Times New Roman"/>
    </w:rPr>
  </w:style>
  <w:style w:type="character" w:customStyle="1" w:styleId="WW8Num2z0">
    <w:name w:val="WW8Num2z0"/>
    <w:qFormat/>
    <w:rPr>
      <w:rFonts w:ascii="Symbol" w:eastAsia="Times New Roman" w:hAnsi="Symbol" w:cs="Symbol"/>
      <w:color w:val="C9211E"/>
      <w:spacing w:val="-2"/>
      <w:w w:val="100"/>
      <w:sz w:val="28"/>
    </w:rPr>
  </w:style>
  <w:style w:type="character" w:customStyle="1" w:styleId="WW8Num2z1">
    <w:name w:val="WW8Num2z1"/>
    <w:qFormat/>
    <w:rPr>
      <w:rFonts w:ascii="0;Times New Roman" w:hAnsi="0;Times New Roman" w:cs="0;Times New Roman"/>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4">
    <w:name w:val="Основной шрифт абзаца4"/>
    <w:qFormat/>
  </w:style>
  <w:style w:type="character" w:customStyle="1" w:styleId="1">
    <w:name w:val="Шрифт абзацу за промовчанням1"/>
    <w:qFormat/>
  </w:style>
  <w:style w:type="character" w:customStyle="1" w:styleId="10">
    <w:name w:val="Основной шрифт абзаца1"/>
    <w:qFormat/>
  </w:style>
  <w:style w:type="character" w:customStyle="1" w:styleId="HTML">
    <w:name w:val="Стандартный HTML Знак"/>
    <w:qFormat/>
    <w:rPr>
      <w:rFonts w:ascii="Courier New" w:hAnsi="Courier New" w:cs="Courier New"/>
      <w:lang w:val="ru-RU"/>
    </w:rPr>
  </w:style>
  <w:style w:type="character" w:customStyle="1" w:styleId="a3">
    <w:name w:val="Нижний колонтитул Знак"/>
    <w:qFormat/>
    <w:rPr>
      <w:rFonts w:ascii="Liberation Serif" w:eastAsia="Liberation Serif" w:hAnsi="Liberation Serif" w:cs="Mangal;Liberation Mono"/>
      <w:kern w:val="2"/>
      <w:sz w:val="24"/>
      <w:szCs w:val="21"/>
      <w:lang w:eastAsia="zh-CN" w:bidi="hi-IN"/>
    </w:rPr>
  </w:style>
  <w:style w:type="character" w:customStyle="1" w:styleId="a4">
    <w:name w:val="Верхний колонтитул Знак"/>
    <w:qFormat/>
    <w:rPr>
      <w:rFonts w:ascii="Liberation Serif" w:eastAsia="Liberation Serif" w:hAnsi="Liberation Serif" w:cs="Liberation Serif"/>
      <w:kern w:val="2"/>
      <w:sz w:val="24"/>
      <w:szCs w:val="24"/>
      <w:lang w:eastAsia="zh-CN" w:bidi="hi-IN"/>
    </w:rPr>
  </w:style>
  <w:style w:type="character" w:customStyle="1" w:styleId="WW8Num4z3">
    <w:name w:val="WW8Num4z3"/>
    <w:qFormat/>
    <w:rPr>
      <w:rFonts w:ascii="Symbol" w:hAnsi="Symbol" w:cs="Symbol"/>
    </w:rPr>
  </w:style>
  <w:style w:type="character" w:customStyle="1" w:styleId="WW8Num4z2">
    <w:name w:val="WW8Num4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0">
    <w:name w:val="WW8Num4z0"/>
    <w:qFormat/>
    <w:rPr>
      <w:rFonts w:ascii="Times New Roman" w:eastAsia="Times New Roman" w:hAnsi="Times New Roman" w:cs="Times New Roman"/>
      <w:color w:val="000000"/>
      <w:szCs w:val="28"/>
      <w:highlight w:val="white"/>
    </w:rPr>
  </w:style>
  <w:style w:type="character" w:customStyle="1" w:styleId="a5">
    <w:name w:val="Верхній колонтитул Знак"/>
    <w:uiPriority w:val="99"/>
    <w:qFormat/>
    <w:rPr>
      <w:bCs/>
      <w:sz w:val="28"/>
      <w:szCs w:val="24"/>
      <w:lang w:eastAsia="zh-CN"/>
    </w:rPr>
  </w:style>
  <w:style w:type="character" w:customStyle="1" w:styleId="FontStyle22">
    <w:name w:val="Font Style22"/>
    <w:qFormat/>
    <w:rPr>
      <w:rFonts w:ascii="Times New Roman" w:hAnsi="Times New Roman" w:cs="Times New Roman"/>
      <w:spacing w:val="10"/>
      <w:sz w:val="24"/>
      <w:szCs w:val="24"/>
    </w:rPr>
  </w:style>
  <w:style w:type="character" w:customStyle="1" w:styleId="a6">
    <w:name w:val="Виділення жирним"/>
    <w:qFormat/>
    <w:rPr>
      <w:b/>
      <w:bCs/>
    </w:rPr>
  </w:style>
  <w:style w:type="character" w:customStyle="1" w:styleId="2">
    <w:name w:val="Основной шрифт абзаца2"/>
    <w:qFormat/>
  </w:style>
  <w:style w:type="character" w:customStyle="1" w:styleId="a7">
    <w:name w:val="Маркеры списка"/>
    <w:qFormat/>
    <w:rPr>
      <w:rFonts w:ascii="OpenSymbol" w:eastAsia="OpenSymbol" w:hAnsi="OpenSymbol" w:cs="OpenSymbol"/>
    </w:rPr>
  </w:style>
  <w:style w:type="character" w:customStyle="1" w:styleId="a8">
    <w:name w:val="Символ нумерации"/>
    <w:qFormat/>
  </w:style>
  <w:style w:type="character" w:customStyle="1" w:styleId="11">
    <w:name w:val="Гіперпосилання1"/>
    <w:qFormat/>
    <w:rPr>
      <w:color w:val="000080"/>
      <w:u w:val="single"/>
    </w:rPr>
  </w:style>
  <w:style w:type="character" w:customStyle="1" w:styleId="3">
    <w:name w:val="Основной шрифт абзаца3"/>
    <w:qFormat/>
  </w:style>
  <w:style w:type="character" w:customStyle="1" w:styleId="a9">
    <w:name w:val="Шрифт абзацу за промовчанням"/>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paragraph" w:customStyle="1" w:styleId="aa">
    <w:name w:val="Заголовок"/>
    <w:basedOn w:val="a"/>
    <w:next w:val="ab"/>
    <w:qFormat/>
    <w:pPr>
      <w:keepNext/>
      <w:spacing w:before="240" w:after="120"/>
    </w:pPr>
    <w:rPr>
      <w:rFonts w:ascii="Liberation Sans" w:hAnsi="Liberation Sans" w:cs="Liberation Sans"/>
      <w:sz w:val="28"/>
      <w:szCs w:val="28"/>
    </w:rPr>
  </w:style>
  <w:style w:type="paragraph" w:styleId="ab">
    <w:name w:val="Body Text"/>
    <w:basedOn w:val="a"/>
    <w:pPr>
      <w:spacing w:after="140" w:line="276" w:lineRule="auto"/>
    </w:pPr>
  </w:style>
  <w:style w:type="paragraph" w:styleId="ac">
    <w:name w:val="List"/>
    <w:basedOn w:val="ab"/>
  </w:style>
  <w:style w:type="paragraph" w:styleId="ad">
    <w:name w:val="caption"/>
    <w:basedOn w:val="a"/>
    <w:qFormat/>
    <w:pPr>
      <w:suppressLineNumbers/>
      <w:spacing w:before="120" w:after="120"/>
    </w:pPr>
    <w:rPr>
      <w:rFonts w:cs="Arial"/>
      <w:i/>
      <w:iCs/>
    </w:rPr>
  </w:style>
  <w:style w:type="paragraph" w:customStyle="1" w:styleId="ae">
    <w:name w:val="Покажчик"/>
    <w:basedOn w:val="a"/>
    <w:qFormat/>
  </w:style>
  <w:style w:type="paragraph" w:customStyle="1" w:styleId="20">
    <w:name w:val="Название объекта2"/>
    <w:basedOn w:val="a"/>
    <w:qFormat/>
    <w:pPr>
      <w:suppressLineNumbers/>
      <w:spacing w:before="120" w:after="120"/>
    </w:pPr>
    <w:rPr>
      <w:rFonts w:cs="Arial"/>
      <w:i/>
      <w:iCs/>
    </w:rPr>
  </w:style>
  <w:style w:type="paragraph" w:customStyle="1" w:styleId="12">
    <w:name w:val="Назва об'єкта1"/>
    <w:basedOn w:val="a"/>
    <w:qFormat/>
    <w:pPr>
      <w:spacing w:before="120" w:after="120"/>
    </w:pPr>
    <w:rPr>
      <w:iCs/>
    </w:rPr>
  </w:style>
  <w:style w:type="paragraph" w:customStyle="1" w:styleId="af">
    <w:name w:val="Верхній і нижній колонтитули"/>
    <w:basedOn w:val="a"/>
    <w:qFormat/>
  </w:style>
  <w:style w:type="paragraph" w:styleId="af0">
    <w:name w:val="header"/>
    <w:basedOn w:val="af"/>
    <w:uiPriority w:val="99"/>
  </w:style>
  <w:style w:type="paragraph" w:customStyle="1" w:styleId="af1">
    <w:name w:val="Вміст рамки"/>
    <w:basedOn w:val="a"/>
    <w:qFormat/>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val="ru-RU" w:bidi="ar-SA"/>
    </w:rPr>
  </w:style>
  <w:style w:type="paragraph" w:styleId="af2">
    <w:name w:val="footer"/>
    <w:basedOn w:val="a"/>
    <w:pPr>
      <w:tabs>
        <w:tab w:val="center" w:pos="4819"/>
        <w:tab w:val="right" w:pos="9639"/>
      </w:tabs>
    </w:pPr>
    <w:rPr>
      <w:rFonts w:cs="Mangal;Liberation Mono"/>
      <w:szCs w:val="21"/>
    </w:rPr>
  </w:style>
  <w:style w:type="paragraph" w:customStyle="1" w:styleId="LTHintergrund">
    <w:name w:val="Заголовок і об’єкт~LT~Hintergrund"/>
    <w:qFormat/>
    <w:rPr>
      <w:rFonts w:eastAsia="Tahoma" w:cs="Liberation Sans"/>
      <w:kern w:val="2"/>
    </w:rPr>
  </w:style>
  <w:style w:type="paragraph" w:customStyle="1" w:styleId="LTHintergrundobjekte">
    <w:name w:val="Заголовок і об’єкт~LT~Hintergrundobjekte"/>
    <w:qFormat/>
    <w:rPr>
      <w:rFonts w:eastAsia="Tahoma" w:cs="Liberation Sans"/>
      <w:kern w:val="2"/>
    </w:rPr>
  </w:style>
  <w:style w:type="paragraph" w:customStyle="1" w:styleId="LTTitel">
    <w:name w:val="Заголовок і об’єкт~LT~Titel"/>
    <w:next w:val="LTHintergrund"/>
    <w:qFormat/>
    <w:pPr>
      <w:spacing w:line="200" w:lineRule="atLeast"/>
    </w:pPr>
    <w:rPr>
      <w:rFonts w:ascii="Arial" w:eastAsia="Tahoma" w:hAnsi="Arial" w:cs="Liberation Sans"/>
      <w:color w:val="000000"/>
      <w:kern w:val="2"/>
      <w:sz w:val="36"/>
    </w:rPr>
  </w:style>
  <w:style w:type="paragraph" w:customStyle="1" w:styleId="LTGliederung7">
    <w:name w:val="Заголовок і об’єкт~LT~Gliederung 7"/>
    <w:basedOn w:val="LTTitel"/>
    <w:next w:val="LTUntertitel"/>
    <w:qFormat/>
    <w:pPr>
      <w:spacing w:before="57" w:line="216" w:lineRule="auto"/>
    </w:pPr>
    <w:rPr>
      <w:rFonts w:cs="Arial"/>
      <w:sz w:val="40"/>
    </w:rPr>
  </w:style>
  <w:style w:type="paragraph" w:customStyle="1" w:styleId="LTGliederung4">
    <w:name w:val="Заголовок і об’єкт~LT~Gliederung 4"/>
    <w:basedOn w:val="LTGliederung7"/>
    <w:next w:val="LTGliederung8"/>
    <w:qFormat/>
    <w:pPr>
      <w:spacing w:before="113"/>
    </w:pPr>
    <w:rPr>
      <w:sz w:val="36"/>
    </w:rPr>
  </w:style>
  <w:style w:type="paragraph" w:customStyle="1" w:styleId="LTGliederung1">
    <w:name w:val="Заголовок і об’єкт~LT~Gliederung 1"/>
    <w:next w:val="LTGliederung5"/>
    <w:qFormat/>
    <w:pPr>
      <w:spacing w:before="283" w:line="216" w:lineRule="auto"/>
    </w:pPr>
    <w:rPr>
      <w:rFonts w:ascii="Arial" w:eastAsia="Tahoma" w:hAnsi="Arial" w:cs="Liberation Sans"/>
      <w:color w:val="000000"/>
      <w:kern w:val="2"/>
      <w:sz w:val="56"/>
    </w:rPr>
  </w:style>
  <w:style w:type="paragraph" w:customStyle="1" w:styleId="7">
    <w:name w:val="Структура 7"/>
    <w:basedOn w:val="LTGliederung1"/>
    <w:next w:val="LTGliederung2"/>
    <w:qFormat/>
    <w:pPr>
      <w:spacing w:before="57"/>
    </w:pPr>
    <w:rPr>
      <w:rFonts w:cs="Arial"/>
      <w:sz w:val="40"/>
    </w:rPr>
  </w:style>
  <w:style w:type="paragraph" w:customStyle="1" w:styleId="40">
    <w:name w:val="Структура 4"/>
    <w:basedOn w:val="7"/>
    <w:next w:val="8"/>
    <w:qFormat/>
    <w:pPr>
      <w:spacing w:before="113"/>
    </w:pPr>
    <w:rPr>
      <w:sz w:val="36"/>
    </w:rPr>
  </w:style>
  <w:style w:type="paragraph" w:customStyle="1" w:styleId="LTNotizen">
    <w:name w:val="Заголовок і об’єкт~LT~Notizen"/>
    <w:qFormat/>
    <w:pPr>
      <w:ind w:left="340" w:hanging="340"/>
    </w:pPr>
    <w:rPr>
      <w:rFonts w:ascii="Arial" w:eastAsia="Tahoma" w:hAnsi="Arial" w:cs="Liberation Sans"/>
      <w:color w:val="000000"/>
      <w:kern w:val="2"/>
      <w:sz w:val="40"/>
    </w:rPr>
  </w:style>
  <w:style w:type="paragraph" w:customStyle="1" w:styleId="LTGliederung9">
    <w:name w:val="Заголовок і об’єкт~LT~Gliederung 9"/>
    <w:basedOn w:val="LTNotizen"/>
    <w:next w:val="LTHintergrundobjekte"/>
    <w:qFormat/>
    <w:pPr>
      <w:spacing w:before="57" w:line="216" w:lineRule="auto"/>
    </w:pPr>
    <w:rPr>
      <w:rFonts w:cs="Arial"/>
    </w:rPr>
  </w:style>
  <w:style w:type="paragraph" w:customStyle="1" w:styleId="LTGliederung6">
    <w:name w:val="Заголовок і об’єкт~LT~Gliederung 6"/>
    <w:basedOn w:val="LTGliederung9"/>
    <w:next w:val="LTTitel"/>
    <w:qFormat/>
  </w:style>
  <w:style w:type="paragraph" w:customStyle="1" w:styleId="LTGliederung3">
    <w:name w:val="Заголовок і об’єкт~LT~Gliederung 3"/>
    <w:basedOn w:val="LTGliederung6"/>
    <w:next w:val="LTGliederung7"/>
    <w:qFormat/>
    <w:pPr>
      <w:spacing w:before="170"/>
    </w:pPr>
    <w:rPr>
      <w:sz w:val="36"/>
    </w:rPr>
  </w:style>
  <w:style w:type="paragraph" w:customStyle="1" w:styleId="9">
    <w:name w:val="Структура 9"/>
    <w:basedOn w:val="LTGliederung3"/>
    <w:next w:val="LTGliederung4"/>
    <w:qFormat/>
    <w:pPr>
      <w:spacing w:before="57"/>
    </w:pPr>
    <w:rPr>
      <w:sz w:val="40"/>
    </w:rPr>
  </w:style>
  <w:style w:type="paragraph" w:customStyle="1" w:styleId="6">
    <w:name w:val="Структура 6"/>
    <w:basedOn w:val="9"/>
    <w:next w:val="LTGliederung1"/>
    <w:qFormat/>
  </w:style>
  <w:style w:type="paragraph" w:customStyle="1" w:styleId="30">
    <w:name w:val="Структура 3"/>
    <w:basedOn w:val="6"/>
    <w:next w:val="7"/>
    <w:qFormat/>
    <w:pPr>
      <w:spacing w:before="170"/>
    </w:pPr>
    <w:rPr>
      <w:sz w:val="36"/>
    </w:rPr>
  </w:style>
  <w:style w:type="paragraph" w:customStyle="1" w:styleId="LTUntertitel">
    <w:name w:val="Заголовок і об’єкт~LT~Untertitel"/>
    <w:qFormat/>
    <w:pPr>
      <w:jc w:val="center"/>
    </w:pPr>
    <w:rPr>
      <w:rFonts w:ascii="Arial" w:eastAsia="Tahoma" w:hAnsi="Arial" w:cs="Liberation Sans"/>
      <w:color w:val="000000"/>
      <w:kern w:val="2"/>
      <w:sz w:val="64"/>
    </w:rPr>
  </w:style>
  <w:style w:type="paragraph" w:customStyle="1" w:styleId="LTGliederung8">
    <w:name w:val="Заголовок і об’єкт~LT~Gliederung 8"/>
    <w:basedOn w:val="LTUntertitel"/>
    <w:next w:val="LTNotizen"/>
    <w:qFormat/>
    <w:pPr>
      <w:spacing w:before="57" w:line="216" w:lineRule="auto"/>
      <w:jc w:val="left"/>
    </w:pPr>
    <w:rPr>
      <w:rFonts w:cs="Arial"/>
      <w:sz w:val="40"/>
    </w:rPr>
  </w:style>
  <w:style w:type="paragraph" w:customStyle="1" w:styleId="LTGliederung5">
    <w:name w:val="Заголовок і об’єкт~LT~Gliederung 5"/>
    <w:basedOn w:val="LTGliederung8"/>
    <w:next w:val="LTGliederung9"/>
    <w:qFormat/>
  </w:style>
  <w:style w:type="paragraph" w:customStyle="1" w:styleId="LTGliederung2">
    <w:name w:val="Заголовок і об’єкт~LT~Gliederung 2"/>
    <w:basedOn w:val="LTGliederung5"/>
    <w:next w:val="LTGliederung6"/>
    <w:qFormat/>
    <w:pPr>
      <w:spacing w:before="227"/>
    </w:pPr>
  </w:style>
  <w:style w:type="paragraph" w:customStyle="1" w:styleId="8">
    <w:name w:val="Структура 8"/>
    <w:basedOn w:val="LTGliederung2"/>
    <w:next w:val="LTGliederung3"/>
    <w:qFormat/>
    <w:pPr>
      <w:spacing w:before="57"/>
    </w:pPr>
  </w:style>
  <w:style w:type="paragraph" w:customStyle="1" w:styleId="5">
    <w:name w:val="Структура 5"/>
    <w:basedOn w:val="8"/>
    <w:next w:val="9"/>
    <w:qFormat/>
  </w:style>
  <w:style w:type="paragraph" w:customStyle="1" w:styleId="21">
    <w:name w:val="Структура 2"/>
    <w:basedOn w:val="5"/>
    <w:next w:val="6"/>
    <w:qFormat/>
    <w:pPr>
      <w:spacing w:before="227"/>
    </w:pPr>
  </w:style>
  <w:style w:type="paragraph" w:customStyle="1" w:styleId="13">
    <w:name w:val="Структура 1"/>
    <w:next w:val="5"/>
    <w:qFormat/>
    <w:pPr>
      <w:spacing w:before="283" w:line="216" w:lineRule="auto"/>
    </w:pPr>
    <w:rPr>
      <w:rFonts w:ascii="Arial" w:eastAsia="Tahoma" w:hAnsi="Arial" w:cs="Liberation Sans"/>
      <w:color w:val="000000"/>
      <w:kern w:val="2"/>
      <w:sz w:val="56"/>
    </w:rPr>
  </w:style>
  <w:style w:type="paragraph" w:customStyle="1" w:styleId="af3">
    <w:name w:val="Тло"/>
    <w:next w:val="40"/>
    <w:qFormat/>
    <w:rPr>
      <w:rFonts w:eastAsia="Tahoma" w:cs="Liberation Sans"/>
      <w:kern w:val="2"/>
    </w:rPr>
  </w:style>
  <w:style w:type="paragraph" w:customStyle="1" w:styleId="af4">
    <w:name w:val="Об'єкти на тлі"/>
    <w:next w:val="30"/>
    <w:qFormat/>
    <w:rPr>
      <w:rFonts w:eastAsia="Tahoma" w:cs="Liberation Sans"/>
      <w:kern w:val="2"/>
    </w:rPr>
  </w:style>
  <w:style w:type="paragraph" w:customStyle="1" w:styleId="bw1">
    <w:name w:val="bw1"/>
    <w:next w:val="orange2"/>
    <w:qFormat/>
    <w:pPr>
      <w:widowControl w:val="0"/>
      <w:spacing w:line="200" w:lineRule="atLeast"/>
    </w:pPr>
    <w:rPr>
      <w:rFonts w:ascii="Arial" w:hAnsi="Arial"/>
      <w:color w:val="000000"/>
      <w:kern w:val="2"/>
      <w:sz w:val="36"/>
    </w:rPr>
  </w:style>
  <w:style w:type="paragraph" w:customStyle="1" w:styleId="yellow3">
    <w:name w:val="yellow3"/>
    <w:basedOn w:val="bw1"/>
    <w:next w:val="21"/>
    <w:qFormat/>
  </w:style>
  <w:style w:type="paragraph" w:customStyle="1" w:styleId="yellow2">
    <w:name w:val="yellow2"/>
    <w:basedOn w:val="bw1"/>
    <w:next w:val="13"/>
    <w:qFormat/>
  </w:style>
  <w:style w:type="paragraph" w:customStyle="1" w:styleId="yellow1">
    <w:name w:val="yellow1"/>
    <w:basedOn w:val="bw1"/>
    <w:next w:val="af3"/>
    <w:qFormat/>
  </w:style>
  <w:style w:type="paragraph" w:customStyle="1" w:styleId="lightblue3">
    <w:name w:val="lightblue3"/>
    <w:basedOn w:val="bw1"/>
    <w:next w:val="af4"/>
    <w:qFormat/>
  </w:style>
  <w:style w:type="paragraph" w:customStyle="1" w:styleId="lightblue2">
    <w:name w:val="lightblue2"/>
    <w:basedOn w:val="bw1"/>
    <w:next w:val="yellow3"/>
    <w:qFormat/>
  </w:style>
  <w:style w:type="paragraph" w:customStyle="1" w:styleId="lightblue1">
    <w:name w:val="lightblue1"/>
    <w:basedOn w:val="bw1"/>
    <w:next w:val="yellow2"/>
    <w:qFormat/>
  </w:style>
  <w:style w:type="paragraph" w:customStyle="1" w:styleId="seetang3">
    <w:name w:val="seetang3"/>
    <w:basedOn w:val="bw1"/>
    <w:next w:val="yellow1"/>
    <w:qFormat/>
  </w:style>
  <w:style w:type="paragraph" w:customStyle="1" w:styleId="seetang2">
    <w:name w:val="seetang2"/>
    <w:basedOn w:val="bw1"/>
    <w:next w:val="lightblue3"/>
    <w:qFormat/>
  </w:style>
  <w:style w:type="paragraph" w:customStyle="1" w:styleId="seetang1">
    <w:name w:val="seetang1"/>
    <w:basedOn w:val="bw1"/>
    <w:next w:val="lightblue2"/>
    <w:qFormat/>
  </w:style>
  <w:style w:type="paragraph" w:customStyle="1" w:styleId="green3">
    <w:name w:val="green3"/>
    <w:basedOn w:val="bw1"/>
    <w:next w:val="lightblue1"/>
    <w:qFormat/>
  </w:style>
  <w:style w:type="paragraph" w:customStyle="1" w:styleId="green2">
    <w:name w:val="green2"/>
    <w:basedOn w:val="bw1"/>
    <w:next w:val="seetang3"/>
    <w:qFormat/>
  </w:style>
  <w:style w:type="paragraph" w:customStyle="1" w:styleId="green1">
    <w:name w:val="green1"/>
    <w:basedOn w:val="bw1"/>
    <w:next w:val="seetang2"/>
    <w:qFormat/>
  </w:style>
  <w:style w:type="paragraph" w:customStyle="1" w:styleId="earth3">
    <w:name w:val="earth3"/>
    <w:basedOn w:val="bw1"/>
    <w:next w:val="seetang1"/>
    <w:qFormat/>
  </w:style>
  <w:style w:type="paragraph" w:customStyle="1" w:styleId="earth2">
    <w:name w:val="earth2"/>
    <w:basedOn w:val="bw1"/>
    <w:next w:val="green3"/>
    <w:qFormat/>
  </w:style>
  <w:style w:type="paragraph" w:customStyle="1" w:styleId="earth1">
    <w:name w:val="earth1"/>
    <w:basedOn w:val="bw1"/>
    <w:next w:val="green2"/>
    <w:qFormat/>
  </w:style>
  <w:style w:type="paragraph" w:customStyle="1" w:styleId="sun3">
    <w:name w:val="sun3"/>
    <w:basedOn w:val="bw1"/>
    <w:next w:val="green1"/>
    <w:qFormat/>
  </w:style>
  <w:style w:type="paragraph" w:customStyle="1" w:styleId="sun2">
    <w:name w:val="sun2"/>
    <w:basedOn w:val="bw1"/>
    <w:next w:val="earth3"/>
    <w:qFormat/>
  </w:style>
  <w:style w:type="paragraph" w:customStyle="1" w:styleId="sun1">
    <w:name w:val="sun1"/>
    <w:basedOn w:val="bw1"/>
    <w:next w:val="earth2"/>
    <w:qFormat/>
  </w:style>
  <w:style w:type="paragraph" w:customStyle="1" w:styleId="blue3">
    <w:name w:val="blue3"/>
    <w:basedOn w:val="bw1"/>
    <w:next w:val="earth1"/>
    <w:qFormat/>
  </w:style>
  <w:style w:type="paragraph" w:customStyle="1" w:styleId="blue2">
    <w:name w:val="blue2"/>
    <w:basedOn w:val="bw1"/>
    <w:next w:val="sun3"/>
    <w:qFormat/>
  </w:style>
  <w:style w:type="paragraph" w:customStyle="1" w:styleId="blue1">
    <w:name w:val="blue1"/>
    <w:basedOn w:val="bw1"/>
    <w:next w:val="sun2"/>
    <w:qFormat/>
  </w:style>
  <w:style w:type="paragraph" w:customStyle="1" w:styleId="turquoise3">
    <w:name w:val="turquoise3"/>
    <w:basedOn w:val="bw1"/>
    <w:next w:val="sun1"/>
    <w:qFormat/>
  </w:style>
  <w:style w:type="paragraph" w:customStyle="1" w:styleId="turquoise2">
    <w:name w:val="turquoise2"/>
    <w:basedOn w:val="bw1"/>
    <w:next w:val="blue3"/>
    <w:qFormat/>
  </w:style>
  <w:style w:type="paragraph" w:customStyle="1" w:styleId="turquoise1">
    <w:name w:val="turquoise1"/>
    <w:basedOn w:val="bw1"/>
    <w:next w:val="blue2"/>
    <w:qFormat/>
  </w:style>
  <w:style w:type="paragraph" w:customStyle="1" w:styleId="orange3">
    <w:name w:val="orange3"/>
    <w:basedOn w:val="bw1"/>
    <w:next w:val="blue1"/>
    <w:qFormat/>
  </w:style>
  <w:style w:type="paragraph" w:customStyle="1" w:styleId="orange2">
    <w:name w:val="orange2"/>
    <w:basedOn w:val="bw1"/>
    <w:next w:val="turquoise3"/>
    <w:qFormat/>
  </w:style>
  <w:style w:type="paragraph" w:customStyle="1" w:styleId="orange1">
    <w:name w:val="orange1"/>
    <w:basedOn w:val="bw1"/>
    <w:next w:val="turquoise2"/>
    <w:qFormat/>
  </w:style>
  <w:style w:type="paragraph" w:customStyle="1" w:styleId="bw3">
    <w:name w:val="bw3"/>
    <w:basedOn w:val="bw1"/>
    <w:next w:val="turquoise1"/>
    <w:qFormat/>
  </w:style>
  <w:style w:type="paragraph" w:customStyle="1" w:styleId="bw2">
    <w:name w:val="bw2"/>
    <w:basedOn w:val="bw1"/>
    <w:next w:val="orange3"/>
    <w:qFormat/>
  </w:style>
  <w:style w:type="paragraph" w:customStyle="1" w:styleId="gray3">
    <w:name w:val="gray3"/>
    <w:basedOn w:val="bw1"/>
    <w:next w:val="orange1"/>
    <w:qFormat/>
  </w:style>
  <w:style w:type="paragraph" w:customStyle="1" w:styleId="gray2">
    <w:name w:val="gray2"/>
    <w:basedOn w:val="bw1"/>
    <w:next w:val="bw3"/>
    <w:qFormat/>
  </w:style>
  <w:style w:type="paragraph" w:customStyle="1" w:styleId="gray1">
    <w:name w:val="gray1"/>
    <w:basedOn w:val="bw1"/>
    <w:next w:val="bw2"/>
    <w:qFormat/>
  </w:style>
  <w:style w:type="paragraph" w:customStyle="1" w:styleId="default">
    <w:name w:val="default"/>
    <w:next w:val="bw1"/>
    <w:qFormat/>
    <w:pPr>
      <w:spacing w:line="200" w:lineRule="atLeast"/>
    </w:pPr>
    <w:rPr>
      <w:rFonts w:ascii="Arial" w:eastAsia="Tahoma" w:hAnsi="Arial" w:cs="Liberation Sans"/>
      <w:color w:val="000000"/>
      <w:kern w:val="2"/>
      <w:sz w:val="36"/>
    </w:rPr>
  </w:style>
  <w:style w:type="paragraph" w:customStyle="1" w:styleId="LTHintergrund0">
    <w:name w:val="Титульний слайд~LT~Hintergrund"/>
    <w:next w:val="gray3"/>
    <w:qFormat/>
    <w:rPr>
      <w:rFonts w:eastAsia="Tahoma" w:cs="Liberation Sans"/>
      <w:kern w:val="2"/>
    </w:rPr>
  </w:style>
  <w:style w:type="paragraph" w:customStyle="1" w:styleId="LTHintergrundobjekte0">
    <w:name w:val="Титульний слайд~LT~Hintergrundobjekte"/>
    <w:next w:val="gray2"/>
    <w:qFormat/>
    <w:rPr>
      <w:rFonts w:eastAsia="Tahoma" w:cs="Liberation Sans"/>
      <w:kern w:val="2"/>
    </w:rPr>
  </w:style>
  <w:style w:type="paragraph" w:customStyle="1" w:styleId="LTTitel0">
    <w:name w:val="Титульний слайд~LT~Titel"/>
    <w:next w:val="LTHintergrund0"/>
    <w:qFormat/>
    <w:pPr>
      <w:spacing w:line="200" w:lineRule="atLeast"/>
    </w:pPr>
    <w:rPr>
      <w:rFonts w:ascii="Arial" w:eastAsia="Tahoma" w:hAnsi="Arial" w:cs="Liberation Sans"/>
      <w:color w:val="000000"/>
      <w:kern w:val="2"/>
      <w:sz w:val="36"/>
    </w:rPr>
  </w:style>
  <w:style w:type="paragraph" w:customStyle="1" w:styleId="LTGliederung70">
    <w:name w:val="Титульний слайд~LT~Gliederung 7"/>
    <w:basedOn w:val="LTTitel0"/>
    <w:next w:val="LTUntertitel0"/>
    <w:qFormat/>
    <w:pPr>
      <w:spacing w:before="57" w:line="216" w:lineRule="auto"/>
    </w:pPr>
    <w:rPr>
      <w:rFonts w:cs="Arial"/>
      <w:sz w:val="40"/>
    </w:rPr>
  </w:style>
  <w:style w:type="paragraph" w:customStyle="1" w:styleId="LTGliederung40">
    <w:name w:val="Титульний слайд~LT~Gliederung 4"/>
    <w:basedOn w:val="LTGliederung70"/>
    <w:next w:val="LTGliederung80"/>
    <w:qFormat/>
    <w:pPr>
      <w:spacing w:before="113"/>
    </w:pPr>
    <w:rPr>
      <w:sz w:val="36"/>
    </w:rPr>
  </w:style>
  <w:style w:type="paragraph" w:customStyle="1" w:styleId="LTNotizen0">
    <w:name w:val="Титульний слайд~LT~Notizen"/>
    <w:next w:val="gray1"/>
    <w:qFormat/>
    <w:pPr>
      <w:ind w:left="340" w:hanging="340"/>
    </w:pPr>
    <w:rPr>
      <w:rFonts w:ascii="Arial" w:eastAsia="Tahoma" w:hAnsi="Arial" w:cs="Liberation Sans"/>
      <w:color w:val="000000"/>
      <w:kern w:val="2"/>
      <w:sz w:val="40"/>
    </w:rPr>
  </w:style>
  <w:style w:type="paragraph" w:customStyle="1" w:styleId="LTGliederung90">
    <w:name w:val="Титульний слайд~LT~Gliederung 9"/>
    <w:basedOn w:val="LTNotizen0"/>
    <w:next w:val="LTHintergrundobjekte0"/>
    <w:qFormat/>
    <w:pPr>
      <w:spacing w:before="57" w:line="216" w:lineRule="auto"/>
    </w:pPr>
    <w:rPr>
      <w:rFonts w:cs="Arial"/>
    </w:rPr>
  </w:style>
  <w:style w:type="paragraph" w:customStyle="1" w:styleId="LTGliederung60">
    <w:name w:val="Титульний слайд~LT~Gliederung 6"/>
    <w:basedOn w:val="LTGliederung90"/>
    <w:next w:val="LTTitel0"/>
    <w:qFormat/>
  </w:style>
  <w:style w:type="paragraph" w:customStyle="1" w:styleId="LTGliederung30">
    <w:name w:val="Титульний слайд~LT~Gliederung 3"/>
    <w:basedOn w:val="LTGliederung60"/>
    <w:next w:val="LTGliederung70"/>
    <w:qFormat/>
    <w:pPr>
      <w:spacing w:before="170"/>
    </w:pPr>
    <w:rPr>
      <w:sz w:val="36"/>
    </w:rPr>
  </w:style>
  <w:style w:type="paragraph" w:customStyle="1" w:styleId="LTUntertitel0">
    <w:name w:val="Титульний слайд~LT~Untertitel"/>
    <w:next w:val="default"/>
    <w:qFormat/>
    <w:pPr>
      <w:jc w:val="center"/>
    </w:pPr>
    <w:rPr>
      <w:rFonts w:ascii="Arial" w:eastAsia="Tahoma" w:hAnsi="Arial" w:cs="Liberation Sans"/>
      <w:color w:val="000000"/>
      <w:kern w:val="2"/>
      <w:sz w:val="64"/>
    </w:rPr>
  </w:style>
  <w:style w:type="paragraph" w:customStyle="1" w:styleId="LTGliederung80">
    <w:name w:val="Титульний слайд~LT~Gliederung 8"/>
    <w:basedOn w:val="LTUntertitel0"/>
    <w:next w:val="LTNotizen0"/>
    <w:qFormat/>
    <w:pPr>
      <w:spacing w:before="57" w:line="216" w:lineRule="auto"/>
      <w:jc w:val="left"/>
    </w:pPr>
    <w:rPr>
      <w:rFonts w:cs="Arial"/>
      <w:sz w:val="40"/>
    </w:rPr>
  </w:style>
  <w:style w:type="paragraph" w:customStyle="1" w:styleId="LTGliederung50">
    <w:name w:val="Титульний слайд~LT~Gliederung 5"/>
    <w:basedOn w:val="LTGliederung80"/>
    <w:next w:val="LTGliederung90"/>
    <w:qFormat/>
  </w:style>
  <w:style w:type="paragraph" w:customStyle="1" w:styleId="LTGliederung20">
    <w:name w:val="Титульний слайд~LT~Gliederung 2"/>
    <w:basedOn w:val="LTGliederung50"/>
    <w:next w:val="LTGliederung60"/>
    <w:qFormat/>
    <w:pPr>
      <w:spacing w:before="227"/>
    </w:pPr>
  </w:style>
  <w:style w:type="paragraph" w:customStyle="1" w:styleId="LTGliederung10">
    <w:name w:val="Титульний слайд~LT~Gliederung 1"/>
    <w:next w:val="LTGliederung50"/>
    <w:qFormat/>
    <w:pPr>
      <w:spacing w:before="283" w:line="216" w:lineRule="auto"/>
    </w:pPr>
    <w:rPr>
      <w:rFonts w:ascii="Arial" w:eastAsia="Tahoma" w:hAnsi="Arial" w:cs="Liberation Sans"/>
      <w:color w:val="000000"/>
      <w:kern w:val="2"/>
      <w:sz w:val="56"/>
    </w:rPr>
  </w:style>
  <w:style w:type="paragraph" w:customStyle="1" w:styleId="af5">
    <w:name w:val="Об'єкт без заповнення і ліній"/>
    <w:next w:val="af6"/>
    <w:qFormat/>
    <w:pPr>
      <w:widowControl w:val="0"/>
      <w:spacing w:line="200" w:lineRule="atLeast"/>
    </w:pPr>
    <w:rPr>
      <w:rFonts w:ascii="Arial" w:hAnsi="Arial"/>
      <w:color w:val="000000"/>
      <w:kern w:val="2"/>
      <w:sz w:val="36"/>
    </w:rPr>
  </w:style>
  <w:style w:type="paragraph" w:customStyle="1" w:styleId="af6">
    <w:name w:val="Розмірна лінія"/>
    <w:basedOn w:val="af5"/>
    <w:next w:val="LTGliederung40"/>
    <w:qFormat/>
  </w:style>
  <w:style w:type="paragraph" w:customStyle="1" w:styleId="22">
    <w:name w:val="Заголовок2"/>
    <w:basedOn w:val="af5"/>
    <w:next w:val="LTGliederung30"/>
    <w:qFormat/>
    <w:pPr>
      <w:spacing w:before="57" w:after="57"/>
      <w:ind w:right="113"/>
      <w:jc w:val="center"/>
    </w:pPr>
  </w:style>
  <w:style w:type="paragraph" w:customStyle="1" w:styleId="14">
    <w:name w:val="Заголовок1"/>
    <w:basedOn w:val="af5"/>
    <w:next w:val="LTGliederung20"/>
    <w:qFormat/>
    <w:pPr>
      <w:jc w:val="center"/>
    </w:pPr>
  </w:style>
  <w:style w:type="paragraph" w:customStyle="1" w:styleId="af7">
    <w:name w:val="Вирівнювання тексту у ширину"/>
    <w:basedOn w:val="af5"/>
    <w:next w:val="LTGliederung10"/>
    <w:qFormat/>
  </w:style>
  <w:style w:type="paragraph" w:customStyle="1" w:styleId="af8">
    <w:name w:val="Об'єкт без заповнення"/>
    <w:basedOn w:val="af5"/>
    <w:next w:val="22"/>
    <w:qFormat/>
  </w:style>
  <w:style w:type="paragraph" w:customStyle="1" w:styleId="af9">
    <w:name w:val="Об'єкт з тінню"/>
    <w:basedOn w:val="af5"/>
    <w:next w:val="14"/>
    <w:qFormat/>
  </w:style>
  <w:style w:type="paragraph" w:customStyle="1" w:styleId="afa">
    <w:name w:val="Об'єкт зі стрілкою"/>
    <w:basedOn w:val="af5"/>
    <w:next w:val="af7"/>
    <w:qFormat/>
  </w:style>
  <w:style w:type="paragraph" w:customStyle="1" w:styleId="15">
    <w:name w:val="Звичайний1"/>
    <w:next w:val="af5"/>
    <w:qFormat/>
    <w:pPr>
      <w:spacing w:line="200" w:lineRule="atLeast"/>
    </w:pPr>
    <w:rPr>
      <w:rFonts w:ascii="Arial" w:eastAsia="Tahoma" w:hAnsi="Arial" w:cs="Liberation Sans"/>
      <w:color w:val="000000"/>
      <w:kern w:val="2"/>
      <w:sz w:val="36"/>
    </w:rPr>
  </w:style>
  <w:style w:type="paragraph" w:styleId="afb">
    <w:name w:val="List Paragraph"/>
    <w:basedOn w:val="a"/>
    <w:next w:val="af8"/>
    <w:qFormat/>
    <w:pPr>
      <w:spacing w:after="160"/>
      <w:ind w:left="720"/>
      <w:contextualSpacing/>
    </w:pPr>
  </w:style>
  <w:style w:type="paragraph" w:customStyle="1" w:styleId="ListParagraph14">
    <w:name w:val="List Paragraph + 14 пт"/>
    <w:basedOn w:val="a"/>
    <w:next w:val="af9"/>
    <w:qFormat/>
    <w:pPr>
      <w:ind w:left="-567" w:firstLine="851"/>
      <w:jc w:val="both"/>
    </w:pPr>
    <w:rPr>
      <w:szCs w:val="28"/>
    </w:rPr>
  </w:style>
  <w:style w:type="paragraph" w:customStyle="1" w:styleId="16">
    <w:name w:val="Звичайний (веб)1"/>
    <w:basedOn w:val="a"/>
    <w:next w:val="afb"/>
    <w:qFormat/>
    <w:pPr>
      <w:widowControl/>
      <w:spacing w:before="280" w:after="280"/>
    </w:pPr>
    <w:rPr>
      <w:rFonts w:eastAsia="Times New Roman" w:cs="Times New Roman"/>
      <w:lang w:val="ru-RU" w:bidi="ar-SA"/>
    </w:rPr>
  </w:style>
  <w:style w:type="paragraph" w:customStyle="1" w:styleId="afc">
    <w:name w:val="Вміст таблиці"/>
    <w:basedOn w:val="a"/>
    <w:qFormat/>
    <w:pPr>
      <w:suppressLineNumbers/>
    </w:pPr>
  </w:style>
  <w:style w:type="paragraph" w:customStyle="1" w:styleId="afd">
    <w:name w:val="Заголовок таблиці"/>
    <w:basedOn w:val="af0"/>
    <w:next w:val="ListParagraph14"/>
    <w:qFormat/>
    <w:pPr>
      <w:suppressLineNumbers/>
      <w:jc w:val="center"/>
    </w:pPr>
    <w:rPr>
      <w:b/>
      <w:bCs/>
    </w:rPr>
  </w:style>
  <w:style w:type="paragraph" w:styleId="afe">
    <w:name w:val="Normal (Web)"/>
    <w:basedOn w:val="a"/>
    <w:next w:val="16"/>
    <w:qFormat/>
    <w:pPr>
      <w:spacing w:before="280" w:after="280"/>
    </w:pPr>
  </w:style>
  <w:style w:type="paragraph" w:customStyle="1" w:styleId="aff">
    <w:name w:val="Заголовок таблицы"/>
    <w:basedOn w:val="HTML0"/>
    <w:next w:val="afd"/>
    <w:qFormat/>
    <w:pPr>
      <w:suppressLineNumbers/>
      <w:jc w:val="center"/>
    </w:pPr>
    <w:rPr>
      <w:b/>
      <w:bCs/>
    </w:rPr>
  </w:style>
  <w:style w:type="paragraph" w:customStyle="1" w:styleId="aff0">
    <w:name w:val="Текст в заданном формате"/>
    <w:basedOn w:val="a"/>
    <w:next w:val="afc"/>
    <w:qFormat/>
    <w:rPr>
      <w:rFonts w:ascii="Courier New" w:eastAsia="NSimSun" w:hAnsi="Courier New" w:cs="Courier New"/>
      <w:sz w:val="20"/>
      <w:szCs w:val="20"/>
    </w:rPr>
  </w:style>
  <w:style w:type="paragraph" w:customStyle="1" w:styleId="aff1">
    <w:name w:val="Содержимое таблицы"/>
    <w:basedOn w:val="a"/>
    <w:next w:val="HTML0"/>
    <w:qFormat/>
    <w:pPr>
      <w:suppressLineNumbers/>
    </w:pPr>
  </w:style>
  <w:style w:type="paragraph" w:customStyle="1" w:styleId="210">
    <w:name w:val="Основной текст 21"/>
    <w:basedOn w:val="a"/>
    <w:next w:val="afe"/>
    <w:qFormat/>
    <w:pPr>
      <w:jc w:val="both"/>
    </w:pPr>
  </w:style>
  <w:style w:type="paragraph" w:customStyle="1" w:styleId="17">
    <w:name w:val="Указатель1"/>
    <w:basedOn w:val="a"/>
    <w:next w:val="aff"/>
    <w:qFormat/>
    <w:pPr>
      <w:suppressLineNumbers/>
    </w:pPr>
    <w:rPr>
      <w:rFonts w:cs="Mangal;Liberation Mono"/>
      <w:sz w:val="28"/>
    </w:rPr>
  </w:style>
  <w:style w:type="paragraph" w:customStyle="1" w:styleId="18">
    <w:name w:val="Название1"/>
    <w:basedOn w:val="a"/>
    <w:next w:val="aff0"/>
    <w:qFormat/>
    <w:pPr>
      <w:suppressLineNumbers/>
      <w:spacing w:before="120" w:after="120"/>
    </w:pPr>
    <w:rPr>
      <w:rFonts w:cs="Mangal;Liberation Mono"/>
      <w:i/>
      <w:iCs/>
      <w:sz w:val="28"/>
    </w:rPr>
  </w:style>
  <w:style w:type="paragraph" w:customStyle="1" w:styleId="19">
    <w:name w:val="Название объекта1"/>
    <w:basedOn w:val="a"/>
    <w:next w:val="aff1"/>
    <w:qFormat/>
    <w:pPr>
      <w:suppressLineNumbers/>
      <w:spacing w:before="120" w:after="120"/>
    </w:pPr>
    <w:rPr>
      <w:rFonts w:cs="Arial"/>
      <w:i/>
      <w:iCs/>
    </w:rPr>
  </w:style>
  <w:style w:type="paragraph" w:customStyle="1" w:styleId="23">
    <w:name w:val="Назва об'єкта2"/>
    <w:basedOn w:val="a"/>
    <w:next w:val="19"/>
    <w:qFormat/>
    <w:pPr>
      <w:suppressLineNumbers/>
      <w:spacing w:before="120" w:after="120"/>
    </w:pPr>
    <w:rPr>
      <w:rFonts w:cs="Arial"/>
      <w:i/>
      <w:iCs/>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3</Pages>
  <Words>4875</Words>
  <Characters>2779</Characters>
  <Application>Microsoft Office Word</Application>
  <DocSecurity>0</DocSecurity>
  <Lines>23</Lines>
  <Paragraphs>15</Paragraphs>
  <ScaleCrop>false</ScaleCrop>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keywords>
  <dc:description/>
  <cp:lastModifiedBy>Поліщук Оксана Анатоліївна</cp:lastModifiedBy>
  <cp:revision>51</cp:revision>
  <cp:lastPrinted>1995-11-21T17:41:00Z</cp:lastPrinted>
  <dcterms:created xsi:type="dcterms:W3CDTF">2021-01-27T17:39:00Z</dcterms:created>
  <dcterms:modified xsi:type="dcterms:W3CDTF">2023-02-01T14:53:00Z</dcterms:modified>
  <dc:language>uk-UA</dc:language>
</cp:coreProperties>
</file>