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447E60" w14:textId="77777777" w:rsidR="00FC3638" w:rsidRDefault="00FC3638">
      <w:pPr>
        <w:jc w:val="center"/>
      </w:pPr>
    </w:p>
    <w:p w14:paraId="41B0ED10" w14:textId="77777777" w:rsidR="00FC3638" w:rsidRDefault="008B3DF3">
      <w:pPr>
        <w:jc w:val="center"/>
      </w:pPr>
      <w:r>
        <w:object w:dxaOrig="3105" w:dyaOrig="3300" w14:anchorId="384B019B">
          <v:shape id="ole_rId2" o:spid="_x0000_i1025" style="width:58.55pt;height:59.2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45674422" r:id="rId6"/>
        </w:object>
      </w:r>
    </w:p>
    <w:p w14:paraId="3B834BEA" w14:textId="77777777" w:rsidR="00FC3638" w:rsidRDefault="00FC3638">
      <w:pPr>
        <w:jc w:val="center"/>
        <w:rPr>
          <w:sz w:val="16"/>
          <w:szCs w:val="16"/>
        </w:rPr>
      </w:pPr>
    </w:p>
    <w:p w14:paraId="37042653" w14:textId="77777777" w:rsidR="00FC3638" w:rsidRDefault="008B3DF3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353F2195" w14:textId="77777777" w:rsidR="00FC3638" w:rsidRDefault="00FC3638">
      <w:pPr>
        <w:rPr>
          <w:sz w:val="20"/>
          <w:szCs w:val="20"/>
        </w:rPr>
      </w:pPr>
    </w:p>
    <w:p w14:paraId="51F82C64" w14:textId="77777777" w:rsidR="00FC3638" w:rsidRDefault="008B3DF3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38CBDB4F" w14:textId="77777777" w:rsidR="00FC3638" w:rsidRDefault="00FC3638">
      <w:pPr>
        <w:jc w:val="center"/>
        <w:rPr>
          <w:b/>
          <w:bCs w:val="0"/>
          <w:i/>
          <w:sz w:val="40"/>
          <w:szCs w:val="40"/>
        </w:rPr>
      </w:pPr>
    </w:p>
    <w:p w14:paraId="7FA93D83" w14:textId="77777777" w:rsidR="00FC3638" w:rsidRDefault="008B3DF3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14:paraId="1AA9C64D" w14:textId="77777777" w:rsidR="00FC3638" w:rsidRDefault="00FC3638">
      <w:pPr>
        <w:rPr>
          <w:sz w:val="24"/>
        </w:rPr>
      </w:pPr>
    </w:p>
    <w:tbl>
      <w:tblPr>
        <w:tblW w:w="9659" w:type="dxa"/>
        <w:tblInd w:w="-34" w:type="dxa"/>
        <w:tblLook w:val="0000" w:firstRow="0" w:lastRow="0" w:firstColumn="0" w:lastColumn="0" w:noHBand="0" w:noVBand="0"/>
      </w:tblPr>
      <w:tblGrid>
        <w:gridCol w:w="5354"/>
        <w:gridCol w:w="4305"/>
      </w:tblGrid>
      <w:tr w:rsidR="00FC3638" w14:paraId="720A213B" w14:textId="77777777">
        <w:trPr>
          <w:trHeight w:val="900"/>
        </w:trPr>
        <w:tc>
          <w:tcPr>
            <w:tcW w:w="5353" w:type="dxa"/>
            <w:shd w:val="clear" w:color="auto" w:fill="auto"/>
          </w:tcPr>
          <w:p w14:paraId="7E292740" w14:textId="77777777" w:rsidR="00FC3638" w:rsidRDefault="008B3DF3">
            <w:pPr>
              <w:widowControl w:val="0"/>
              <w:tabs>
                <w:tab w:val="left" w:pos="1806"/>
              </w:tabs>
              <w:ind w:right="422"/>
              <w:jc w:val="both"/>
            </w:pPr>
            <w:r>
              <w:rPr>
                <w:sz w:val="27"/>
                <w:szCs w:val="27"/>
              </w:rPr>
              <w:t xml:space="preserve">Про передачу майна </w:t>
            </w:r>
            <w:bookmarkStart w:id="0" w:name="__DdeLink__2890_3303414633"/>
            <w:r>
              <w:rPr>
                <w:sz w:val="27"/>
                <w:szCs w:val="27"/>
              </w:rPr>
              <w:t>(</w:t>
            </w:r>
            <w:r>
              <w:rPr>
                <w:color w:val="050505"/>
                <w:sz w:val="27"/>
                <w:szCs w:val="27"/>
              </w:rPr>
              <w:t>мобільні котельні</w:t>
            </w:r>
            <w:bookmarkEnd w:id="0"/>
            <w:r>
              <w:rPr>
                <w:sz w:val="27"/>
                <w:szCs w:val="27"/>
              </w:rPr>
              <w:t xml:space="preserve">), набутого в рамках </w:t>
            </w:r>
            <w:bookmarkStart w:id="1" w:name="_Hlk121834042"/>
            <w:r>
              <w:rPr>
                <w:sz w:val="27"/>
                <w:szCs w:val="27"/>
                <w:lang w:val="ru-RU"/>
              </w:rPr>
              <w:t>«</w:t>
            </w:r>
            <w:r>
              <w:rPr>
                <w:color w:val="000000"/>
                <w:sz w:val="27"/>
                <w:szCs w:val="27"/>
              </w:rPr>
              <w:t>Проєкту енергетичної безпеки</w:t>
            </w:r>
            <w:bookmarkEnd w:id="1"/>
            <w:r>
              <w:rPr>
                <w:color w:val="000000"/>
                <w:sz w:val="27"/>
                <w:szCs w:val="27"/>
                <w:lang w:val="ru-RU"/>
              </w:rPr>
              <w:t>»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en-US"/>
              </w:rPr>
              <w:t>USAID</w:t>
            </w:r>
          </w:p>
          <w:p w14:paraId="0BD3B3B2" w14:textId="77777777" w:rsidR="00FC3638" w:rsidRPr="002E02EF" w:rsidRDefault="00FC3638">
            <w:pPr>
              <w:widowControl w:val="0"/>
              <w:tabs>
                <w:tab w:val="left" w:pos="1806"/>
              </w:tabs>
              <w:ind w:right="422"/>
              <w:jc w:val="both"/>
              <w:rPr>
                <w:color w:val="000000"/>
                <w:sz w:val="24"/>
                <w:lang w:val="ru-RU"/>
              </w:rPr>
            </w:pPr>
          </w:p>
        </w:tc>
        <w:tc>
          <w:tcPr>
            <w:tcW w:w="4305" w:type="dxa"/>
            <w:shd w:val="clear" w:color="auto" w:fill="auto"/>
          </w:tcPr>
          <w:p w14:paraId="53A16770" w14:textId="77777777" w:rsidR="00FC3638" w:rsidRDefault="00FC3638">
            <w:pPr>
              <w:widowControl w:val="0"/>
              <w:snapToGrid w:val="0"/>
              <w:ind w:left="1026"/>
              <w:rPr>
                <w:b/>
                <w:sz w:val="27"/>
                <w:szCs w:val="27"/>
              </w:rPr>
            </w:pPr>
          </w:p>
        </w:tc>
      </w:tr>
    </w:tbl>
    <w:p w14:paraId="09A9C3B5" w14:textId="77777777" w:rsidR="00FC3638" w:rsidRDefault="008B3DF3">
      <w:pPr>
        <w:pStyle w:val="StyleZakonu"/>
        <w:spacing w:after="0" w:line="240" w:lineRule="auto"/>
        <w:ind w:firstLine="567"/>
      </w:pPr>
      <w:r>
        <w:rPr>
          <w:sz w:val="27"/>
          <w:szCs w:val="27"/>
          <w:shd w:val="clear" w:color="auto" w:fill="FFFFFF"/>
        </w:rPr>
        <w:t>У зв’язку з реалізацією «Проєкту енергетичної безпеки» (далі – «ПЕБ»),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shd w:val="clear" w:color="auto" w:fill="FFFFFF"/>
        </w:rPr>
        <w:t>що фінансується Агентством США з міжнародного розвитку (USAID)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shd w:val="clear" w:color="auto" w:fill="FFFFFF"/>
        </w:rPr>
        <w:t>у рамках Угоди між урядами України і Сполучених Штатів Америки про гуманітарне і техніко-економічне співробітництво від 07.05.1992 та Угоди про виконання завдання у сфері розвитку між урядом України та урядом Сполучених Штатів Америки для сприяння стійкому</w:t>
      </w:r>
      <w:r>
        <w:rPr>
          <w:sz w:val="27"/>
          <w:szCs w:val="27"/>
          <w:shd w:val="clear" w:color="auto" w:fill="FFFFFF"/>
        </w:rPr>
        <w:t xml:space="preserve"> економічному розвитку на широкій суспільній основі як засобу забезпечення сталої демократії в Україні від 17.09.2014 (АМР США № 121-0002-АА), Меморандуму про взаємопорозуміння щодо співробітництва в рамках міжнародної технічної допомоги від 17 травня 2021</w:t>
      </w:r>
      <w:r>
        <w:rPr>
          <w:sz w:val="27"/>
          <w:szCs w:val="27"/>
          <w:shd w:val="clear" w:color="auto" w:fill="FFFFFF"/>
        </w:rPr>
        <w:t xml:space="preserve"> року між компанією </w:t>
      </w:r>
      <w:r>
        <w:rPr>
          <w:sz w:val="27"/>
          <w:szCs w:val="27"/>
          <w:shd w:val="clear" w:color="auto" w:fill="FFFFFF"/>
          <w:lang w:val="en-US"/>
        </w:rPr>
        <w:t>Tetra</w:t>
      </w:r>
      <w:r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  <w:lang w:val="en-US"/>
        </w:rPr>
        <w:t>Tech</w:t>
      </w:r>
      <w:r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  <w:lang w:val="en-US"/>
        </w:rPr>
        <w:t>ES</w:t>
      </w:r>
      <w:r>
        <w:rPr>
          <w:sz w:val="27"/>
          <w:szCs w:val="27"/>
          <w:shd w:val="clear" w:color="auto" w:fill="FFFFFF"/>
        </w:rPr>
        <w:t xml:space="preserve">, </w:t>
      </w:r>
      <w:r>
        <w:rPr>
          <w:sz w:val="27"/>
          <w:szCs w:val="27"/>
          <w:shd w:val="clear" w:color="auto" w:fill="FFFFFF"/>
          <w:lang w:val="en-US"/>
        </w:rPr>
        <w:t>Inc</w:t>
      </w:r>
      <w:r>
        <w:rPr>
          <w:sz w:val="27"/>
          <w:szCs w:val="27"/>
          <w:shd w:val="clear" w:color="auto" w:fill="FFFFFF"/>
        </w:rPr>
        <w:t>., яка є виконавцем ПЕБ та виконавчим комітетом Луцької міської ради, керуючись п. 27 ч. 1 ст. 26 Закону України «Про місцеве самоврядування в Україні» міська рада</w:t>
      </w:r>
    </w:p>
    <w:p w14:paraId="50C5A030" w14:textId="77777777" w:rsidR="00FC3638" w:rsidRDefault="00FC3638">
      <w:pPr>
        <w:pStyle w:val="StyleZakonu"/>
        <w:spacing w:after="0" w:line="240" w:lineRule="auto"/>
        <w:ind w:firstLine="709"/>
        <w:rPr>
          <w:sz w:val="24"/>
          <w:szCs w:val="24"/>
          <w:highlight w:val="white"/>
        </w:rPr>
      </w:pPr>
    </w:p>
    <w:p w14:paraId="489F3C6F" w14:textId="77777777" w:rsidR="00FC3638" w:rsidRDefault="008B3DF3">
      <w:pPr>
        <w:pStyle w:val="StyleZakonu"/>
        <w:spacing w:after="0" w:line="240" w:lineRule="auto"/>
        <w:ind w:firstLine="0"/>
        <w:rPr>
          <w:sz w:val="27"/>
          <w:szCs w:val="27"/>
        </w:rPr>
      </w:pPr>
      <w:r>
        <w:rPr>
          <w:bCs/>
          <w:sz w:val="27"/>
          <w:szCs w:val="27"/>
        </w:rPr>
        <w:t>ВИРІШИЛА</w:t>
      </w:r>
      <w:r>
        <w:rPr>
          <w:sz w:val="27"/>
          <w:szCs w:val="27"/>
        </w:rPr>
        <w:t>:</w:t>
      </w:r>
    </w:p>
    <w:p w14:paraId="1FDE56DA" w14:textId="77777777" w:rsidR="00FC3638" w:rsidRDefault="00FC3638">
      <w:pPr>
        <w:shd w:val="clear" w:color="auto" w:fill="FFFFFF"/>
        <w:ind w:firstLine="709"/>
        <w:jc w:val="both"/>
        <w:textAlignment w:val="baseline"/>
        <w:rPr>
          <w:bCs w:val="0"/>
          <w:sz w:val="24"/>
          <w:lang w:eastAsia="uk-UA"/>
        </w:rPr>
      </w:pPr>
      <w:bookmarkStart w:id="2" w:name="10"/>
      <w:bookmarkStart w:id="3" w:name="12"/>
      <w:bookmarkStart w:id="4" w:name="13"/>
      <w:bookmarkStart w:id="5" w:name="14"/>
      <w:bookmarkStart w:id="6" w:name="8"/>
      <w:bookmarkStart w:id="7" w:name="7"/>
      <w:bookmarkEnd w:id="2"/>
      <w:bookmarkEnd w:id="3"/>
      <w:bookmarkEnd w:id="4"/>
      <w:bookmarkEnd w:id="5"/>
      <w:bookmarkEnd w:id="6"/>
      <w:bookmarkEnd w:id="7"/>
    </w:p>
    <w:p w14:paraId="2FB6AB95" w14:textId="3EE06368" w:rsidR="00FC3638" w:rsidRDefault="008B3DF3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567"/>
        <w:jc w:val="both"/>
        <w:textAlignment w:val="baseline"/>
      </w:pPr>
      <w:r>
        <w:rPr>
          <w:bCs w:val="0"/>
          <w:sz w:val="27"/>
          <w:szCs w:val="27"/>
          <w:lang w:eastAsia="uk-UA"/>
        </w:rPr>
        <w:t>Передати з балансу виконавчого комітету Лу</w:t>
      </w:r>
      <w:r>
        <w:rPr>
          <w:bCs w:val="0"/>
          <w:sz w:val="27"/>
          <w:szCs w:val="27"/>
          <w:lang w:eastAsia="uk-UA"/>
        </w:rPr>
        <w:t>цької міської ради на баланс управління охорони здоров’я</w:t>
      </w:r>
      <w:r>
        <w:rPr>
          <w:bCs w:val="0"/>
          <w:color w:val="000000"/>
          <w:sz w:val="27"/>
          <w:szCs w:val="27"/>
          <w:lang w:eastAsia="uk-UA"/>
        </w:rPr>
        <w:t xml:space="preserve"> Луцької міської ради майно </w:t>
      </w:r>
      <w:r>
        <w:rPr>
          <w:bCs w:val="0"/>
          <w:color w:val="050505"/>
          <w:sz w:val="27"/>
          <w:szCs w:val="27"/>
          <w:lang w:eastAsia="uk-UA"/>
        </w:rPr>
        <w:t>(мобільну</w:t>
      </w:r>
      <w:r>
        <w:rPr>
          <w:bCs w:val="0"/>
          <w:color w:val="050505"/>
          <w:sz w:val="27"/>
          <w:szCs w:val="27"/>
          <w:lang w:eastAsia="uk-UA"/>
        </w:rPr>
        <w:t xml:space="preserve"> котельню</w:t>
      </w:r>
      <w:r>
        <w:rPr>
          <w:sz w:val="27"/>
          <w:szCs w:val="27"/>
        </w:rPr>
        <w:t xml:space="preserve">) </w:t>
      </w:r>
      <w:r>
        <w:rPr>
          <w:bCs w:val="0"/>
          <w:color w:val="000000"/>
          <w:sz w:val="27"/>
          <w:szCs w:val="27"/>
          <w:lang w:eastAsia="uk-UA"/>
        </w:rPr>
        <w:t>згідно додатком 1</w:t>
      </w:r>
      <w:r>
        <w:rPr>
          <w:bCs w:val="0"/>
          <w:color w:val="000000"/>
          <w:sz w:val="27"/>
          <w:szCs w:val="27"/>
          <w:lang w:eastAsia="uk-UA"/>
        </w:rPr>
        <w:t>.</w:t>
      </w:r>
    </w:p>
    <w:p w14:paraId="0DE14A6C" w14:textId="38C650D5" w:rsidR="00FC3638" w:rsidRDefault="008B3DF3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567"/>
        <w:jc w:val="both"/>
        <w:textAlignment w:val="baseline"/>
      </w:pPr>
      <w:r>
        <w:rPr>
          <w:bCs w:val="0"/>
          <w:color w:val="000000"/>
          <w:sz w:val="27"/>
          <w:szCs w:val="27"/>
          <w:lang w:eastAsia="uk-UA"/>
        </w:rPr>
        <w:t xml:space="preserve">Передати з балансу виконавчого комітету Луцької міської ради на баланс департаменту освіти </w:t>
      </w:r>
      <w:bookmarkStart w:id="8" w:name="__DdeLink__465_660659612"/>
      <w:r>
        <w:rPr>
          <w:bCs w:val="0"/>
          <w:color w:val="000000"/>
          <w:sz w:val="27"/>
          <w:szCs w:val="27"/>
          <w:lang w:eastAsia="uk-UA"/>
        </w:rPr>
        <w:t>Луцької міської ради</w:t>
      </w:r>
      <w:bookmarkEnd w:id="8"/>
      <w:r>
        <w:rPr>
          <w:bCs w:val="0"/>
          <w:color w:val="000000"/>
          <w:sz w:val="27"/>
          <w:szCs w:val="27"/>
          <w:lang w:eastAsia="uk-UA"/>
        </w:rPr>
        <w:t xml:space="preserve"> майно (</w:t>
      </w:r>
      <w:r>
        <w:rPr>
          <w:bCs w:val="0"/>
          <w:color w:val="050505"/>
          <w:sz w:val="27"/>
          <w:szCs w:val="27"/>
          <w:lang w:eastAsia="uk-UA"/>
        </w:rPr>
        <w:t>мо</w:t>
      </w:r>
      <w:r>
        <w:rPr>
          <w:bCs w:val="0"/>
          <w:color w:val="050505"/>
          <w:sz w:val="27"/>
          <w:szCs w:val="27"/>
          <w:lang w:eastAsia="uk-UA"/>
        </w:rPr>
        <w:t>більні котельні</w:t>
      </w:r>
      <w:r>
        <w:rPr>
          <w:bCs w:val="0"/>
          <w:color w:val="000000"/>
          <w:sz w:val="27"/>
          <w:szCs w:val="27"/>
          <w:lang w:eastAsia="uk-UA"/>
        </w:rPr>
        <w:t>) згідно додатком 2</w:t>
      </w:r>
      <w:r>
        <w:rPr>
          <w:bCs w:val="0"/>
          <w:color w:val="000000"/>
          <w:sz w:val="27"/>
          <w:szCs w:val="27"/>
          <w:lang w:eastAsia="uk-UA"/>
        </w:rPr>
        <w:t>.</w:t>
      </w:r>
    </w:p>
    <w:p w14:paraId="16F0DC2A" w14:textId="77777777" w:rsidR="00FC3638" w:rsidRDefault="008B3DF3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567"/>
        <w:jc w:val="both"/>
        <w:textAlignment w:val="baseline"/>
      </w:pPr>
      <w:r>
        <w:rPr>
          <w:color w:val="000000"/>
          <w:sz w:val="27"/>
          <w:szCs w:val="27"/>
          <w:shd w:val="clear" w:color="auto" w:fill="FFFFFF"/>
        </w:rPr>
        <w:t>Передачу майна оформити відповідними актами п</w:t>
      </w:r>
      <w:r>
        <w:rPr>
          <w:sz w:val="27"/>
          <w:szCs w:val="27"/>
          <w:shd w:val="clear" w:color="auto" w:fill="FFFFFF"/>
        </w:rPr>
        <w:t>рийняття-передачі згідно з чинним законодавством.</w:t>
      </w:r>
    </w:p>
    <w:p w14:paraId="313B0350" w14:textId="77777777" w:rsidR="00FC3638" w:rsidRDefault="008B3DF3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567"/>
        <w:jc w:val="both"/>
        <w:textAlignment w:val="baseline"/>
      </w:pPr>
      <w:r>
        <w:rPr>
          <w:color w:val="000000"/>
          <w:sz w:val="27"/>
          <w:szCs w:val="27"/>
        </w:rPr>
        <w:t>Контроль за виконанням рішення покласти на заступника міського голови Ірину Чебелюк, постійну комісію міської рад</w:t>
      </w:r>
      <w:r>
        <w:rPr>
          <w:color w:val="000000"/>
          <w:sz w:val="27"/>
          <w:szCs w:val="27"/>
        </w:rPr>
        <w:t>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постійну комісію міської ради з питань комунального майна та приватизації.</w:t>
      </w:r>
    </w:p>
    <w:p w14:paraId="3FFAD58D" w14:textId="77777777" w:rsidR="00FC3638" w:rsidRDefault="00FC3638">
      <w:pPr>
        <w:rPr>
          <w:sz w:val="24"/>
        </w:rPr>
      </w:pPr>
    </w:p>
    <w:tbl>
      <w:tblPr>
        <w:tblStyle w:val="af2"/>
        <w:tblW w:w="9683" w:type="dxa"/>
        <w:tblLook w:val="04A0" w:firstRow="1" w:lastRow="0" w:firstColumn="1" w:lastColumn="0" w:noHBand="0" w:noVBand="1"/>
      </w:tblPr>
      <w:tblGrid>
        <w:gridCol w:w="4841"/>
        <w:gridCol w:w="4842"/>
      </w:tblGrid>
      <w:tr w:rsidR="00FC3638" w14:paraId="59738736" w14:textId="77777777"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F52A0" w14:textId="77777777" w:rsidR="00FC3638" w:rsidRDefault="008B3DF3">
            <w:pPr>
              <w:widowControl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Міський голова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173C7" w14:textId="77777777" w:rsidR="00FC3638" w:rsidRDefault="008B3DF3">
            <w:pPr>
              <w:widowControl w:val="0"/>
              <w:tabs>
                <w:tab w:val="left" w:pos="6521"/>
              </w:tabs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Ігор ПОЛІЩ</w:t>
            </w:r>
            <w:r>
              <w:rPr>
                <w:sz w:val="27"/>
                <w:szCs w:val="27"/>
              </w:rPr>
              <w:t>УК</w:t>
            </w:r>
          </w:p>
        </w:tc>
      </w:tr>
    </w:tbl>
    <w:p w14:paraId="40170E5D" w14:textId="77777777" w:rsidR="00FC3638" w:rsidRDefault="00FC3638">
      <w:pPr>
        <w:jc w:val="both"/>
        <w:rPr>
          <w:sz w:val="24"/>
          <w:lang w:eastAsia="uk-UA"/>
        </w:rPr>
      </w:pPr>
    </w:p>
    <w:p w14:paraId="4F8EE744" w14:textId="77777777" w:rsidR="00FC3638" w:rsidRDefault="008B3DF3">
      <w:pPr>
        <w:jc w:val="both"/>
      </w:pPr>
      <w:r>
        <w:rPr>
          <w:sz w:val="24"/>
          <w:lang w:eastAsia="uk-UA"/>
        </w:rPr>
        <w:t>Смаль 777 955</w:t>
      </w:r>
    </w:p>
    <w:sectPr w:rsidR="00FC3638">
      <w:pgSz w:w="11906" w:h="16838"/>
      <w:pgMar w:top="567" w:right="567" w:bottom="1417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C1078"/>
    <w:multiLevelType w:val="multilevel"/>
    <w:tmpl w:val="1192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C3F7AA6"/>
    <w:multiLevelType w:val="multilevel"/>
    <w:tmpl w:val="FABA444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5340B83"/>
    <w:multiLevelType w:val="multilevel"/>
    <w:tmpl w:val="858A7A32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cs="Times New Roman"/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53188321">
    <w:abstractNumId w:val="2"/>
  </w:num>
  <w:num w:numId="2" w16cid:durableId="737216516">
    <w:abstractNumId w:val="1"/>
  </w:num>
  <w:num w:numId="3" w16cid:durableId="468323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isplayBackgroundShape/>
  <w:defaultTabStop w:val="4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638"/>
    <w:rsid w:val="0005577E"/>
    <w:rsid w:val="002E02EF"/>
    <w:rsid w:val="00741A4E"/>
    <w:rsid w:val="008B3DF3"/>
    <w:rsid w:val="00FC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F48E69"/>
  <w15:docId w15:val="{70121A62-64E3-472B-8561-0334A749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ascii="Times New Roman" w:hAnsi="Times New Roman" w:cs="Times New Roman"/>
      <w:b/>
      <w:sz w:val="28"/>
      <w:szCs w:val="28"/>
      <w:lang w:val="uk-UA"/>
    </w:rPr>
  </w:style>
  <w:style w:type="character" w:customStyle="1" w:styleId="WW8Num4z0">
    <w:name w:val="WW8Num4z0"/>
    <w:qFormat/>
    <w:rPr>
      <w:rFonts w:ascii="Times New Roman" w:hAnsi="Times New Roman" w:cs="Times New Roman"/>
      <w:b/>
      <w:sz w:val="28"/>
      <w:szCs w:val="28"/>
    </w:rPr>
  </w:style>
  <w:style w:type="character" w:customStyle="1" w:styleId="WW8Num4z1">
    <w:name w:val="WW8Num4z1"/>
    <w:qFormat/>
    <w:rPr>
      <w:rFonts w:ascii="Times New Roman" w:hAnsi="Times New Roman" w:cs="Times New Roman"/>
      <w:b w:val="0"/>
      <w:sz w:val="28"/>
      <w:szCs w:val="28"/>
    </w:rPr>
  </w:style>
  <w:style w:type="character" w:customStyle="1" w:styleId="WW8Num4z2">
    <w:name w:val="WW8Num4z2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rFonts w:ascii="Times New Roman" w:hAnsi="Times New Roman" w:cs="Times New Roman"/>
      <w:b w:val="0"/>
      <w:sz w:val="28"/>
      <w:szCs w:val="28"/>
    </w:rPr>
  </w:style>
  <w:style w:type="character" w:customStyle="1" w:styleId="WW8Num5z2">
    <w:name w:val="WW8Num5z2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b w:val="0"/>
    </w:rPr>
  </w:style>
  <w:style w:type="character" w:customStyle="1" w:styleId="WW8Num6z2">
    <w:name w:val="WW8Num6z2"/>
    <w:qFormat/>
    <w:rPr>
      <w:rFonts w:ascii="Times New Roman" w:hAnsi="Times New Roman" w:cs="Times New Roman"/>
      <w:b/>
      <w:bCs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hAnsi="Times New Roman" w:cs="Times New Roman"/>
      <w:b w:val="0"/>
      <w:bCs w:val="0"/>
      <w:i w:val="0"/>
      <w:sz w:val="28"/>
      <w:szCs w:val="28"/>
      <w:lang w:val="uk-UA" w:eastAsia="uk-UA"/>
    </w:rPr>
  </w:style>
  <w:style w:type="character" w:customStyle="1" w:styleId="WW8Num9z0">
    <w:name w:val="WW8Num9z0"/>
    <w:qFormat/>
    <w:rPr>
      <w:rFonts w:ascii="Times New Roman" w:hAnsi="Times New Roman" w:cs="Times New Roman"/>
      <w:sz w:val="28"/>
      <w:szCs w:val="28"/>
    </w:rPr>
  </w:style>
  <w:style w:type="character" w:customStyle="1" w:styleId="WW8Num9z1">
    <w:name w:val="WW8Num9z1"/>
    <w:qFormat/>
    <w:rPr>
      <w:rFonts w:ascii="Times New Roman" w:hAnsi="Times New Roman" w:cs="Times New Roman"/>
      <w:b w:val="0"/>
      <w:bCs/>
      <w:i w:val="0"/>
      <w:iCs/>
      <w:color w:val="FF3300"/>
      <w:sz w:val="28"/>
      <w:szCs w:val="28"/>
    </w:rPr>
  </w:style>
  <w:style w:type="character" w:customStyle="1" w:styleId="WW8Num9z3">
    <w:name w:val="WW8Num9z3"/>
    <w:qFormat/>
  </w:style>
  <w:style w:type="character" w:customStyle="1" w:styleId="WW8Num10z0">
    <w:name w:val="WW8Num10z0"/>
    <w:qFormat/>
    <w:rPr>
      <w:rFonts w:ascii="Times New Roman" w:hAnsi="Times New Roman" w:cs="Times New Roman"/>
      <w:b/>
      <w:sz w:val="28"/>
      <w:szCs w:val="28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Calibri" w:hAnsi="Times New Roman" w:cs="Times New Roma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b/>
    </w:rPr>
  </w:style>
  <w:style w:type="character" w:customStyle="1" w:styleId="WW8Num15z1">
    <w:name w:val="WW8Num15z1"/>
    <w:qFormat/>
    <w:rPr>
      <w:b w:val="0"/>
    </w:rPr>
  </w:style>
  <w:style w:type="character" w:customStyle="1" w:styleId="WW8Num15z2">
    <w:name w:val="WW8Num15z2"/>
    <w:qFormat/>
    <w:rPr>
      <w:rFonts w:ascii="Times New Roman" w:eastAsia="Times New Roman" w:hAnsi="Times New Roman" w:cs="Times New Roman"/>
      <w:b/>
    </w:rPr>
  </w:style>
  <w:style w:type="character" w:customStyle="1" w:styleId="WW8Num15z3">
    <w:name w:val="WW8Num15z3"/>
    <w:qFormat/>
  </w:style>
  <w:style w:type="character" w:customStyle="1" w:styleId="WW8Num16z0">
    <w:name w:val="WW8Num16z0"/>
    <w:qFormat/>
    <w:rPr>
      <w:rFonts w:ascii="Times New Roman" w:eastAsia="Calibri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Times New Roman" w:hAnsi="Times New Roman" w:cs="Times New Roman"/>
      <w:b w:val="0"/>
      <w:sz w:val="28"/>
      <w:szCs w:val="28"/>
    </w:rPr>
  </w:style>
  <w:style w:type="character" w:customStyle="1" w:styleId="WW8Num2z2">
    <w:name w:val="WW8Num2z2"/>
    <w:qFormat/>
    <w:rPr>
      <w:rFonts w:ascii="Times New Roman" w:hAnsi="Times New Roman" w:cs="Times New Roman"/>
      <w:b/>
      <w:bCs/>
    </w:rPr>
  </w:style>
  <w:style w:type="character" w:customStyle="1" w:styleId="WW8Num7z1">
    <w:name w:val="WW8Num7z1"/>
    <w:qFormat/>
    <w:rPr>
      <w:b w:val="0"/>
    </w:rPr>
  </w:style>
  <w:style w:type="character" w:customStyle="1" w:styleId="WW8Num7z2">
    <w:name w:val="WW8Num7z2"/>
    <w:qFormat/>
    <w:rPr>
      <w:rFonts w:ascii="Times New Roman" w:hAnsi="Times New Roman" w:cs="Times New Roman"/>
      <w:b/>
      <w:bCs/>
    </w:rPr>
  </w:style>
  <w:style w:type="character" w:customStyle="1" w:styleId="WW8Num10z1">
    <w:name w:val="WW8Num10z1"/>
    <w:qFormat/>
    <w:rPr>
      <w:rFonts w:ascii="Times New Roman" w:hAnsi="Times New Roman" w:cs="Times New Roman"/>
      <w:b w:val="0"/>
      <w:bCs/>
      <w:i w:val="0"/>
      <w:iCs/>
      <w:color w:val="FF3300"/>
      <w:sz w:val="28"/>
      <w:szCs w:val="28"/>
    </w:rPr>
  </w:style>
  <w:style w:type="character" w:customStyle="1" w:styleId="WW8Num10z3">
    <w:name w:val="WW8Num10z3"/>
    <w:qFormat/>
  </w:style>
  <w:style w:type="character" w:customStyle="1" w:styleId="20">
    <w:name w:val="Основной шрифт абзаца2"/>
    <w:qFormat/>
  </w:style>
  <w:style w:type="character" w:customStyle="1" w:styleId="WW8Num8z1">
    <w:name w:val="WW8Num8z1"/>
    <w:qFormat/>
    <w:rPr>
      <w:b w:val="0"/>
    </w:rPr>
  </w:style>
  <w:style w:type="character" w:customStyle="1" w:styleId="WW8Num8z2">
    <w:name w:val="WW8Num8z2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10">
    <w:name w:val="Основной шрифт абзаца1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</w:style>
  <w:style w:type="character" w:customStyle="1" w:styleId="field-content">
    <w:name w:val="field-content"/>
    <w:basedOn w:val="a0"/>
    <w:qFormat/>
  </w:style>
  <w:style w:type="character" w:customStyle="1" w:styleId="a5">
    <w:name w:val="Символ нумерації"/>
    <w:qFormat/>
  </w:style>
  <w:style w:type="character" w:customStyle="1" w:styleId="ListLabel1">
    <w:name w:val="ListLabel 1"/>
    <w:qFormat/>
    <w:rPr>
      <w:rFonts w:cs="Times New Roman"/>
      <w:sz w:val="28"/>
      <w:szCs w:val="28"/>
    </w:rPr>
  </w:style>
  <w:style w:type="character" w:customStyle="1" w:styleId="ListLabel2">
    <w:name w:val="ListLabel 2"/>
    <w:qFormat/>
    <w:rPr>
      <w:rFonts w:cs="Times New Roman"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styleId="ab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StyleZakonu">
    <w:name w:val="StyleZakonu"/>
    <w:basedOn w:val="a"/>
    <w:qFormat/>
    <w:pPr>
      <w:spacing w:after="60" w:line="220" w:lineRule="exact"/>
      <w:ind w:firstLine="284"/>
      <w:jc w:val="both"/>
    </w:pPr>
    <w:rPr>
      <w:bCs w:val="0"/>
      <w:sz w:val="20"/>
      <w:szCs w:val="20"/>
    </w:rPr>
  </w:style>
  <w:style w:type="paragraph" w:styleId="ac">
    <w:name w:val="List Paragraph"/>
    <w:basedOn w:val="a"/>
    <w:qFormat/>
    <w:pPr>
      <w:suppressAutoHyphens w:val="0"/>
      <w:ind w:left="720"/>
    </w:pPr>
    <w:rPr>
      <w:rFonts w:ascii="Calibri" w:hAnsi="Calibri" w:cs="Calibri"/>
      <w:bCs w:val="0"/>
      <w:sz w:val="24"/>
      <w:lang w:val="en-US"/>
    </w:rPr>
  </w:style>
  <w:style w:type="paragraph" w:styleId="HTML">
    <w:name w:val="HTML Preformatted"/>
    <w:basedOn w:val="a"/>
    <w:qFormat/>
    <w:rPr>
      <w:rFonts w:ascii="Courier New" w:hAnsi="Courier New" w:cs="Courier New"/>
      <w:bCs w:val="0"/>
      <w:sz w:val="20"/>
      <w:szCs w:val="20"/>
    </w:rPr>
  </w:style>
  <w:style w:type="paragraph" w:customStyle="1" w:styleId="Normalny1">
    <w:name w:val="Normalny1"/>
    <w:qFormat/>
    <w:pPr>
      <w:suppressAutoHyphens/>
      <w:spacing w:line="276" w:lineRule="auto"/>
    </w:pPr>
    <w:rPr>
      <w:rFonts w:ascii="Arial" w:eastAsia="Times New Roman" w:hAnsi="Arial"/>
      <w:color w:val="000000"/>
      <w:sz w:val="22"/>
      <w:szCs w:val="22"/>
      <w:lang w:val="pl-PL" w:bidi="ar-SA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Вміст таблиці"/>
    <w:basedOn w:val="a"/>
    <w:qFormat/>
    <w:pPr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table" w:styleId="af2">
    <w:name w:val="Table Grid"/>
    <w:basedOn w:val="a1"/>
    <w:uiPriority w:val="59"/>
    <w:rsid w:val="000D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1235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Serhii Omelchuk</cp:lastModifiedBy>
  <cp:revision>168</cp:revision>
  <cp:lastPrinted>2023-03-27T09:14:00Z</cp:lastPrinted>
  <dcterms:created xsi:type="dcterms:W3CDTF">2017-10-31T16:30:00Z</dcterms:created>
  <dcterms:modified xsi:type="dcterms:W3CDTF">2023-05-15T13:47:00Z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