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047DD" w14:textId="77777777" w:rsidR="00696F7F" w:rsidRDefault="00696F7F">
      <w:pPr>
        <w:jc w:val="center"/>
      </w:pPr>
    </w:p>
    <w:p w14:paraId="57F1A00E" w14:textId="77777777" w:rsidR="00696F7F" w:rsidRDefault="00A64988">
      <w:pPr>
        <w:jc w:val="center"/>
      </w:pPr>
      <w:r>
        <w:object w:dxaOrig="3105" w:dyaOrig="3300" w14:anchorId="5F37A062">
          <v:shape id="ole_rId2" o:spid="_x0000_i1025" style="width:58.55pt;height:59.2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45678066" r:id="rId6"/>
        </w:object>
      </w:r>
    </w:p>
    <w:p w14:paraId="6B9630D2" w14:textId="77777777" w:rsidR="00696F7F" w:rsidRDefault="00696F7F">
      <w:pPr>
        <w:jc w:val="center"/>
        <w:rPr>
          <w:sz w:val="16"/>
          <w:szCs w:val="16"/>
        </w:rPr>
      </w:pPr>
    </w:p>
    <w:p w14:paraId="7BDBCC2A" w14:textId="77777777" w:rsidR="00696F7F" w:rsidRDefault="00A64988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A346C68" w14:textId="77777777" w:rsidR="00696F7F" w:rsidRDefault="00696F7F">
      <w:pPr>
        <w:rPr>
          <w:sz w:val="20"/>
          <w:szCs w:val="20"/>
        </w:rPr>
      </w:pPr>
    </w:p>
    <w:p w14:paraId="082FA315" w14:textId="77777777" w:rsidR="00696F7F" w:rsidRDefault="00A64988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690132E" w14:textId="77777777" w:rsidR="00696F7F" w:rsidRDefault="00696F7F">
      <w:pPr>
        <w:jc w:val="center"/>
        <w:rPr>
          <w:b/>
          <w:bCs w:val="0"/>
          <w:i/>
          <w:sz w:val="40"/>
          <w:szCs w:val="40"/>
        </w:rPr>
      </w:pPr>
    </w:p>
    <w:p w14:paraId="003C882F" w14:textId="77777777" w:rsidR="00696F7F" w:rsidRDefault="00A64988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2D411697" w14:textId="77777777" w:rsidR="00696F7F" w:rsidRDefault="00696F7F">
      <w:pPr>
        <w:rPr>
          <w:sz w:val="24"/>
        </w:rPr>
      </w:pPr>
    </w:p>
    <w:tbl>
      <w:tblPr>
        <w:tblW w:w="9659" w:type="dxa"/>
        <w:tblInd w:w="-34" w:type="dxa"/>
        <w:tblLook w:val="0000" w:firstRow="0" w:lastRow="0" w:firstColumn="0" w:lastColumn="0" w:noHBand="0" w:noVBand="0"/>
      </w:tblPr>
      <w:tblGrid>
        <w:gridCol w:w="5354"/>
        <w:gridCol w:w="4305"/>
      </w:tblGrid>
      <w:tr w:rsidR="00696F7F" w14:paraId="57F8AD66" w14:textId="77777777" w:rsidTr="00A64988">
        <w:trPr>
          <w:trHeight w:val="900"/>
        </w:trPr>
        <w:tc>
          <w:tcPr>
            <w:tcW w:w="5354" w:type="dxa"/>
            <w:shd w:val="clear" w:color="auto" w:fill="auto"/>
          </w:tcPr>
          <w:p w14:paraId="3B0EDE42" w14:textId="77777777" w:rsidR="00696F7F" w:rsidRDefault="00A64988">
            <w:pPr>
              <w:tabs>
                <w:tab w:val="left" w:pos="1806"/>
              </w:tabs>
              <w:ind w:right="422"/>
              <w:jc w:val="both"/>
            </w:pPr>
            <w:r>
              <w:rPr>
                <w:szCs w:val="28"/>
              </w:rPr>
              <w:t xml:space="preserve">Про передачу майна (запірна арматура), набутого в рамках </w:t>
            </w:r>
            <w:bookmarkStart w:id="0" w:name="_Hlk121834042"/>
            <w:r>
              <w:rPr>
                <w:szCs w:val="28"/>
                <w:lang w:val="ru-RU"/>
              </w:rPr>
              <w:t>«</w:t>
            </w:r>
            <w:r>
              <w:rPr>
                <w:color w:val="000000"/>
                <w:szCs w:val="28"/>
              </w:rPr>
              <w:t>Проєкту енергетичної безпеки</w:t>
            </w:r>
            <w:bookmarkEnd w:id="0"/>
            <w:r>
              <w:rPr>
                <w:color w:val="000000"/>
                <w:szCs w:val="28"/>
                <w:lang w:val="ru-RU"/>
              </w:rPr>
              <w:t>»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en-US"/>
              </w:rPr>
              <w:t>USAID</w:t>
            </w:r>
          </w:p>
          <w:p w14:paraId="44715056" w14:textId="77777777" w:rsidR="00696F7F" w:rsidRDefault="00696F7F">
            <w:pPr>
              <w:tabs>
                <w:tab w:val="left" w:pos="1806"/>
              </w:tabs>
              <w:ind w:right="422"/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4305" w:type="dxa"/>
            <w:shd w:val="clear" w:color="auto" w:fill="auto"/>
          </w:tcPr>
          <w:p w14:paraId="4A23BC39" w14:textId="77777777" w:rsidR="00696F7F" w:rsidRDefault="00696F7F">
            <w:pPr>
              <w:snapToGrid w:val="0"/>
              <w:ind w:left="1026"/>
              <w:rPr>
                <w:b/>
                <w:sz w:val="27"/>
                <w:szCs w:val="27"/>
              </w:rPr>
            </w:pPr>
          </w:p>
        </w:tc>
      </w:tr>
    </w:tbl>
    <w:p w14:paraId="7A2101F6" w14:textId="77777777" w:rsidR="00696F7F" w:rsidRDefault="00A64988">
      <w:pPr>
        <w:pStyle w:val="StyleZakonu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 зв’язку з реалізацією «Проєкту енергетичної безпеки» (далі – «ПЕБ»),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що фінансується Агентством США з міжнародного розвитку (USAID)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у рамках Угоди між урядами України і Сполучених Штатів Америки про гуманітарне і техніко-економічне співробітництво від 07.05.1992 та Угоди про виконання завдання у сфері розвитку між урядом України та урядом Сполучених Штатів Америки для сприяння стійкому</w:t>
      </w:r>
      <w:r>
        <w:rPr>
          <w:sz w:val="28"/>
          <w:szCs w:val="28"/>
          <w:shd w:val="clear" w:color="auto" w:fill="FFFFFF"/>
        </w:rPr>
        <w:t xml:space="preserve"> економічному розвитку на широкій суспільній основі як засобу забезпечення сталої демократії в Україні від 17.09.2014 (АМР США № 121-0002-АА), Меморандуму про взаємопорозуміння щодо співробітництва в рамках міжнародної технічної допомоги від 17 травня 2021</w:t>
      </w:r>
      <w:r>
        <w:rPr>
          <w:sz w:val="28"/>
          <w:szCs w:val="28"/>
          <w:shd w:val="clear" w:color="auto" w:fill="FFFFFF"/>
        </w:rPr>
        <w:t xml:space="preserve"> року між компанією </w:t>
      </w:r>
      <w:r>
        <w:rPr>
          <w:sz w:val="28"/>
          <w:szCs w:val="28"/>
          <w:shd w:val="clear" w:color="auto" w:fill="FFFFFF"/>
          <w:lang w:val="en-US"/>
        </w:rPr>
        <w:t>Tetra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Tech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ES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  <w:lang w:val="en-US"/>
        </w:rPr>
        <w:t>Inc</w:t>
      </w:r>
      <w:r>
        <w:rPr>
          <w:sz w:val="28"/>
          <w:szCs w:val="28"/>
          <w:shd w:val="clear" w:color="auto" w:fill="FFFFFF"/>
        </w:rPr>
        <w:t>., яка є виконавцем ПЕБ та виконавчим комітетом Луцької міської ради, керуючись п. 27 ч. 1 ст. 26 Закону України «Про місцеве самоврядування в Україні» міська рада</w:t>
      </w:r>
    </w:p>
    <w:p w14:paraId="5F552763" w14:textId="77777777" w:rsidR="00696F7F" w:rsidRDefault="00696F7F">
      <w:pPr>
        <w:pStyle w:val="StyleZakonu"/>
        <w:spacing w:after="0" w:line="240" w:lineRule="auto"/>
        <w:ind w:firstLine="709"/>
        <w:rPr>
          <w:sz w:val="24"/>
          <w:szCs w:val="24"/>
          <w:highlight w:val="white"/>
        </w:rPr>
      </w:pPr>
    </w:p>
    <w:p w14:paraId="60D4E5E4" w14:textId="77777777" w:rsidR="00696F7F" w:rsidRDefault="00A64988">
      <w:pPr>
        <w:pStyle w:val="StyleZakonu"/>
        <w:spacing w:after="0" w:line="240" w:lineRule="auto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ВИРІШИЛА</w:t>
      </w:r>
      <w:r>
        <w:rPr>
          <w:sz w:val="28"/>
          <w:szCs w:val="28"/>
        </w:rPr>
        <w:t>:</w:t>
      </w:r>
    </w:p>
    <w:p w14:paraId="62844F5E" w14:textId="77777777" w:rsidR="00696F7F" w:rsidRDefault="00696F7F">
      <w:pPr>
        <w:shd w:val="clear" w:color="auto" w:fill="FFFFFF"/>
        <w:ind w:firstLine="709"/>
        <w:jc w:val="both"/>
        <w:textAlignment w:val="baseline"/>
        <w:rPr>
          <w:bCs w:val="0"/>
          <w:sz w:val="24"/>
          <w:lang w:eastAsia="uk-UA"/>
        </w:rPr>
      </w:pPr>
      <w:bookmarkStart w:id="1" w:name="10"/>
      <w:bookmarkStart w:id="2" w:name="12"/>
      <w:bookmarkStart w:id="3" w:name="13"/>
      <w:bookmarkStart w:id="4" w:name="14"/>
      <w:bookmarkStart w:id="5" w:name="8"/>
      <w:bookmarkStart w:id="6" w:name="7"/>
      <w:bookmarkEnd w:id="1"/>
      <w:bookmarkEnd w:id="2"/>
      <w:bookmarkEnd w:id="3"/>
      <w:bookmarkEnd w:id="4"/>
      <w:bookmarkEnd w:id="5"/>
      <w:bookmarkEnd w:id="6"/>
    </w:p>
    <w:p w14:paraId="08E5A670" w14:textId="77777777" w:rsidR="00696F7F" w:rsidRDefault="00A64988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szCs w:val="28"/>
        </w:rPr>
      </w:pPr>
      <w:r>
        <w:rPr>
          <w:bCs w:val="0"/>
          <w:szCs w:val="28"/>
          <w:lang w:eastAsia="uk-UA"/>
        </w:rPr>
        <w:t xml:space="preserve">Передати з балансу виконавчого комітету Луцької міської ради на баланс </w:t>
      </w:r>
      <w:r>
        <w:rPr>
          <w:bCs w:val="0"/>
          <w:color w:val="000000"/>
          <w:szCs w:val="28"/>
          <w:lang w:eastAsia="uk-UA"/>
        </w:rPr>
        <w:t xml:space="preserve">ДКП «Луцьктепло» майно </w:t>
      </w:r>
      <w:r>
        <w:rPr>
          <w:szCs w:val="28"/>
        </w:rPr>
        <w:t xml:space="preserve">(запірну арматуру) </w:t>
      </w:r>
      <w:r>
        <w:rPr>
          <w:bCs w:val="0"/>
          <w:color w:val="000000"/>
          <w:szCs w:val="28"/>
          <w:lang w:eastAsia="uk-UA"/>
        </w:rPr>
        <w:t>згідно з додатком.</w:t>
      </w:r>
    </w:p>
    <w:p w14:paraId="6D2ECFA1" w14:textId="77777777" w:rsidR="00696F7F" w:rsidRDefault="00A64988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szCs w:val="28"/>
        </w:rPr>
      </w:pPr>
      <w:r>
        <w:rPr>
          <w:color w:val="000000"/>
          <w:szCs w:val="28"/>
          <w:shd w:val="clear" w:color="auto" w:fill="FFFFFF"/>
        </w:rPr>
        <w:t>Передачу майна оформити відповідними актами п</w:t>
      </w:r>
      <w:r>
        <w:rPr>
          <w:szCs w:val="28"/>
          <w:shd w:val="clear" w:color="auto" w:fill="FFFFFF"/>
        </w:rPr>
        <w:t>рийняття-передачі згідно з чинним законодавством.</w:t>
      </w:r>
    </w:p>
    <w:p w14:paraId="37E0557D" w14:textId="77777777" w:rsidR="00696F7F" w:rsidRDefault="00A64988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szCs w:val="28"/>
        </w:rPr>
      </w:pPr>
      <w:r>
        <w:rPr>
          <w:color w:val="000000"/>
          <w:szCs w:val="28"/>
        </w:rPr>
        <w:t>Контроль за виконанням рішенн</w:t>
      </w:r>
      <w:r>
        <w:rPr>
          <w:color w:val="000000"/>
          <w:szCs w:val="28"/>
        </w:rPr>
        <w:t xml:space="preserve">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постійну комісію </w:t>
      </w:r>
      <w:r>
        <w:rPr>
          <w:color w:val="000000"/>
          <w:szCs w:val="28"/>
        </w:rPr>
        <w:t>міської ради з питань комунального майна та приватизації.</w:t>
      </w:r>
    </w:p>
    <w:p w14:paraId="343C7BF2" w14:textId="77777777" w:rsidR="00696F7F" w:rsidRDefault="00696F7F">
      <w:pPr>
        <w:rPr>
          <w:sz w:val="24"/>
        </w:rPr>
      </w:pPr>
    </w:p>
    <w:p w14:paraId="4A6A606C" w14:textId="77777777" w:rsidR="00A64988" w:rsidRDefault="00A64988">
      <w:pPr>
        <w:rPr>
          <w:sz w:val="24"/>
        </w:rPr>
      </w:pPr>
    </w:p>
    <w:tbl>
      <w:tblPr>
        <w:tblStyle w:val="af2"/>
        <w:tblW w:w="9683" w:type="dxa"/>
        <w:tblLook w:val="04A0" w:firstRow="1" w:lastRow="0" w:firstColumn="1" w:lastColumn="0" w:noHBand="0" w:noVBand="1"/>
      </w:tblPr>
      <w:tblGrid>
        <w:gridCol w:w="4841"/>
        <w:gridCol w:w="4842"/>
      </w:tblGrid>
      <w:tr w:rsidR="00696F7F" w14:paraId="09255A44" w14:textId="77777777"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BBD19" w14:textId="77777777" w:rsidR="00696F7F" w:rsidRDefault="00A64988">
            <w:pPr>
              <w:rPr>
                <w:szCs w:val="28"/>
              </w:rPr>
            </w:pPr>
            <w:r>
              <w:rPr>
                <w:szCs w:val="28"/>
              </w:rPr>
              <w:t>Міський голова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214D1" w14:textId="77777777" w:rsidR="00696F7F" w:rsidRDefault="00A64988">
            <w:pPr>
              <w:tabs>
                <w:tab w:val="left" w:pos="6521"/>
              </w:tabs>
              <w:jc w:val="right"/>
              <w:rPr>
                <w:sz w:val="27"/>
                <w:szCs w:val="27"/>
              </w:rPr>
            </w:pPr>
            <w:r>
              <w:rPr>
                <w:szCs w:val="28"/>
              </w:rPr>
              <w:t>Ігор ПОЛІЩУК</w:t>
            </w:r>
          </w:p>
        </w:tc>
      </w:tr>
    </w:tbl>
    <w:p w14:paraId="790488FD" w14:textId="77777777" w:rsidR="00696F7F" w:rsidRDefault="00696F7F">
      <w:pPr>
        <w:jc w:val="both"/>
        <w:rPr>
          <w:sz w:val="24"/>
          <w:lang w:eastAsia="uk-UA"/>
        </w:rPr>
      </w:pPr>
    </w:p>
    <w:p w14:paraId="3E084B25" w14:textId="77777777" w:rsidR="00696F7F" w:rsidRDefault="00A64988">
      <w:pPr>
        <w:jc w:val="both"/>
      </w:pPr>
      <w:proofErr w:type="spellStart"/>
      <w:r>
        <w:rPr>
          <w:sz w:val="24"/>
          <w:lang w:eastAsia="uk-UA"/>
        </w:rPr>
        <w:t>Смаль</w:t>
      </w:r>
      <w:proofErr w:type="spellEnd"/>
      <w:r>
        <w:rPr>
          <w:sz w:val="24"/>
          <w:lang w:eastAsia="uk-UA"/>
        </w:rPr>
        <w:t xml:space="preserve"> 777 955</w:t>
      </w:r>
    </w:p>
    <w:sectPr w:rsidR="00696F7F">
      <w:pgSz w:w="11906" w:h="16838"/>
      <w:pgMar w:top="567" w:right="567" w:bottom="1758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A11"/>
    <w:multiLevelType w:val="multilevel"/>
    <w:tmpl w:val="1B6E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74059C5"/>
    <w:multiLevelType w:val="multilevel"/>
    <w:tmpl w:val="6A3AC16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99B0245"/>
    <w:multiLevelType w:val="multilevel"/>
    <w:tmpl w:val="9F866AD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16760832">
    <w:abstractNumId w:val="1"/>
  </w:num>
  <w:num w:numId="2" w16cid:durableId="923878734">
    <w:abstractNumId w:val="2"/>
  </w:num>
  <w:num w:numId="3" w16cid:durableId="190356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proofState w:spelling="clean" w:grammar="clean"/>
  <w:defaultTabStop w:val="4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F7F"/>
    <w:rsid w:val="00696F7F"/>
    <w:rsid w:val="00A6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382F17"/>
  <w15:docId w15:val="{ED898AA3-4887-4FCA-97E3-BACCF78D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ascii="Times New Roman" w:hAnsi="Times New Roman" w:cs="Times New Roman"/>
      <w:b/>
      <w:sz w:val="28"/>
      <w:szCs w:val="28"/>
      <w:lang w:val="uk-UA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28"/>
      <w:szCs w:val="28"/>
    </w:rPr>
  </w:style>
  <w:style w:type="character" w:customStyle="1" w:styleId="WW8Num4z1">
    <w:name w:val="WW8Num4z1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4z2">
    <w:name w:val="WW8Num4z2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b w:val="0"/>
    </w:rPr>
  </w:style>
  <w:style w:type="character" w:customStyle="1" w:styleId="WW8Num6z2">
    <w:name w:val="WW8Num6z2"/>
    <w:qFormat/>
    <w:rPr>
      <w:rFonts w:ascii="Times New Roman" w:hAnsi="Times New Roman" w:cs="Times New Roman"/>
      <w:b/>
      <w:bCs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bCs w:val="0"/>
      <w:i w:val="0"/>
      <w:sz w:val="28"/>
      <w:szCs w:val="28"/>
      <w:lang w:val="uk-UA" w:eastAsia="uk-UA"/>
    </w:rPr>
  </w:style>
  <w:style w:type="character" w:customStyle="1" w:styleId="WW8Num9z0">
    <w:name w:val="WW8Num9z0"/>
    <w:qFormat/>
    <w:rPr>
      <w:rFonts w:ascii="Times New Roman" w:hAnsi="Times New Roman" w:cs="Times New Roman"/>
      <w:sz w:val="28"/>
      <w:szCs w:val="28"/>
    </w:rPr>
  </w:style>
  <w:style w:type="character" w:customStyle="1" w:styleId="WW8Num9z1">
    <w:name w:val="WW8Num9z1"/>
    <w:qFormat/>
    <w:rPr>
      <w:rFonts w:ascii="Times New Roman" w:hAnsi="Times New Roman" w:cs="Times New Roman"/>
      <w:b w:val="0"/>
      <w:bCs/>
      <w:i w:val="0"/>
      <w:iCs/>
      <w:color w:val="FF3300"/>
      <w:sz w:val="28"/>
      <w:szCs w:val="28"/>
    </w:rPr>
  </w:style>
  <w:style w:type="character" w:customStyle="1" w:styleId="WW8Num9z3">
    <w:name w:val="WW8Num9z3"/>
    <w:qFormat/>
  </w:style>
  <w:style w:type="character" w:customStyle="1" w:styleId="WW8Num10z0">
    <w:name w:val="WW8Num10z0"/>
    <w:qFormat/>
    <w:rPr>
      <w:rFonts w:ascii="Times New Roman" w:hAnsi="Times New Roman" w:cs="Times New Roman"/>
      <w:b/>
      <w:sz w:val="28"/>
      <w:szCs w:val="28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Calibri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  <w:rPr>
      <w:b w:val="0"/>
    </w:rPr>
  </w:style>
  <w:style w:type="character" w:customStyle="1" w:styleId="WW8Num15z2">
    <w:name w:val="WW8Num15z2"/>
    <w:qFormat/>
    <w:rPr>
      <w:rFonts w:ascii="Times New Roman" w:eastAsia="Times New Roman" w:hAnsi="Times New Roman" w:cs="Times New Roman"/>
      <w:b/>
    </w:rPr>
  </w:style>
  <w:style w:type="character" w:customStyle="1" w:styleId="WW8Num15z3">
    <w:name w:val="WW8Num15z3"/>
    <w:qFormat/>
  </w:style>
  <w:style w:type="character" w:customStyle="1" w:styleId="WW8Num16z0">
    <w:name w:val="WW8Num16z0"/>
    <w:qFormat/>
    <w:rPr>
      <w:rFonts w:ascii="Times New Roman" w:eastAsia="Calibri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2z2">
    <w:name w:val="WW8Num2z2"/>
    <w:qFormat/>
    <w:rPr>
      <w:rFonts w:ascii="Times New Roman" w:hAnsi="Times New Roman" w:cs="Times New Roman"/>
      <w:b/>
      <w:bCs/>
    </w:rPr>
  </w:style>
  <w:style w:type="character" w:customStyle="1" w:styleId="WW8Num7z1">
    <w:name w:val="WW8Num7z1"/>
    <w:qFormat/>
    <w:rPr>
      <w:b w:val="0"/>
    </w:rPr>
  </w:style>
  <w:style w:type="character" w:customStyle="1" w:styleId="WW8Num7z2">
    <w:name w:val="WW8Num7z2"/>
    <w:qFormat/>
    <w:rPr>
      <w:rFonts w:ascii="Times New Roman" w:hAnsi="Times New Roman" w:cs="Times New Roman"/>
      <w:b/>
      <w:bCs/>
    </w:rPr>
  </w:style>
  <w:style w:type="character" w:customStyle="1" w:styleId="WW8Num10z1">
    <w:name w:val="WW8Num10z1"/>
    <w:qFormat/>
    <w:rPr>
      <w:rFonts w:ascii="Times New Roman" w:hAnsi="Times New Roman" w:cs="Times New Roman"/>
      <w:b w:val="0"/>
      <w:bCs/>
      <w:i w:val="0"/>
      <w:iCs/>
      <w:color w:val="FF3300"/>
      <w:sz w:val="28"/>
      <w:szCs w:val="28"/>
    </w:rPr>
  </w:style>
  <w:style w:type="character" w:customStyle="1" w:styleId="WW8Num10z3">
    <w:name w:val="WW8Num10z3"/>
    <w:qFormat/>
  </w:style>
  <w:style w:type="character" w:customStyle="1" w:styleId="20">
    <w:name w:val="Основной шрифт абзаца2"/>
    <w:qFormat/>
  </w:style>
  <w:style w:type="character" w:customStyle="1" w:styleId="WW8Num8z1">
    <w:name w:val="WW8Num8z1"/>
    <w:qFormat/>
    <w:rPr>
      <w:b w:val="0"/>
    </w:rPr>
  </w:style>
  <w:style w:type="character" w:customStyle="1" w:styleId="WW8Num8z2">
    <w:name w:val="WW8Num8z2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10">
    <w:name w:val="Основной шрифт абзаца1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character" w:customStyle="1" w:styleId="field-content">
    <w:name w:val="field-content"/>
    <w:basedOn w:val="a0"/>
    <w:qFormat/>
  </w:style>
  <w:style w:type="character" w:customStyle="1" w:styleId="ListLabel1">
    <w:name w:val="ListLabel 1"/>
    <w:qFormat/>
    <w:rPr>
      <w:rFonts w:cs="Times New Roman"/>
      <w:sz w:val="28"/>
      <w:szCs w:val="28"/>
    </w:rPr>
  </w:style>
  <w:style w:type="character" w:customStyle="1" w:styleId="ListLabel2">
    <w:name w:val="ListLabel 2"/>
    <w:qFormat/>
    <w:rPr>
      <w:rFonts w:cs="Times New Roman"/>
      <w:sz w:val="28"/>
      <w:szCs w:val="28"/>
    </w:rPr>
  </w:style>
  <w:style w:type="character" w:customStyle="1" w:styleId="ListLabel3">
    <w:name w:val="ListLabel 3"/>
    <w:qFormat/>
    <w:rPr>
      <w:rFonts w:cs="Times New Roman"/>
      <w:sz w:val="28"/>
      <w:szCs w:val="28"/>
    </w:rPr>
  </w:style>
  <w:style w:type="character" w:customStyle="1" w:styleId="ListLabel4">
    <w:name w:val="ListLabel 4"/>
    <w:qFormat/>
    <w:rPr>
      <w:rFonts w:cs="Times New Roman"/>
      <w:sz w:val="28"/>
      <w:szCs w:val="28"/>
    </w:rPr>
  </w:style>
  <w:style w:type="character" w:customStyle="1" w:styleId="ListLabel5">
    <w:name w:val="ListLabel 5"/>
    <w:qFormat/>
    <w:rPr>
      <w:rFonts w:cs="Times New Roman"/>
      <w:sz w:val="28"/>
      <w:szCs w:val="28"/>
    </w:rPr>
  </w:style>
  <w:style w:type="character" w:customStyle="1" w:styleId="a5">
    <w:name w:val="Символ нумерації"/>
    <w:qFormat/>
  </w:style>
  <w:style w:type="character" w:customStyle="1" w:styleId="ListLabel6">
    <w:name w:val="ListLabel 6"/>
    <w:qFormat/>
    <w:rPr>
      <w:rFonts w:cs="Times New Roman"/>
      <w:sz w:val="28"/>
      <w:szCs w:val="28"/>
    </w:rPr>
  </w:style>
  <w:style w:type="character" w:customStyle="1" w:styleId="ListLabel7">
    <w:name w:val="ListLabel 7"/>
    <w:qFormat/>
    <w:rPr>
      <w:rFonts w:cs="Times New Roman"/>
      <w:sz w:val="28"/>
      <w:szCs w:val="28"/>
    </w:rPr>
  </w:style>
  <w:style w:type="character" w:customStyle="1" w:styleId="ListLabel8">
    <w:name w:val="ListLabel 8"/>
    <w:qFormat/>
    <w:rPr>
      <w:rFonts w:cs="Times New Roman"/>
      <w:sz w:val="28"/>
      <w:szCs w:val="28"/>
    </w:rPr>
  </w:style>
  <w:style w:type="character" w:customStyle="1" w:styleId="ListLabel9">
    <w:name w:val="ListLabel 9"/>
    <w:qFormat/>
    <w:rPr>
      <w:rFonts w:cs="Times New Roman"/>
      <w:sz w:val="28"/>
      <w:szCs w:val="28"/>
    </w:rPr>
  </w:style>
  <w:style w:type="character" w:customStyle="1" w:styleId="ListLabel10">
    <w:name w:val="ListLabel 10"/>
    <w:qFormat/>
    <w:rPr>
      <w:rFonts w:cs="Times New Roman"/>
      <w:sz w:val="28"/>
      <w:szCs w:val="28"/>
    </w:rPr>
  </w:style>
  <w:style w:type="character" w:customStyle="1" w:styleId="ListLabel11">
    <w:name w:val="ListLabel 11"/>
    <w:qFormat/>
    <w:rPr>
      <w:rFonts w:cs="Times New Roman"/>
      <w:sz w:val="28"/>
      <w:szCs w:val="28"/>
    </w:rPr>
  </w:style>
  <w:style w:type="character" w:customStyle="1" w:styleId="ListLabel12">
    <w:name w:val="ListLabel 12"/>
    <w:qFormat/>
    <w:rPr>
      <w:rFonts w:cs="Times New Roman"/>
      <w:sz w:val="28"/>
      <w:szCs w:val="28"/>
    </w:rPr>
  </w:style>
  <w:style w:type="character" w:customStyle="1" w:styleId="ListLabel13">
    <w:name w:val="ListLabel 13"/>
    <w:qFormat/>
    <w:rPr>
      <w:rFonts w:cs="Times New Roman"/>
      <w:sz w:val="28"/>
      <w:szCs w:val="28"/>
    </w:rPr>
  </w:style>
  <w:style w:type="character" w:customStyle="1" w:styleId="ListLabel14">
    <w:name w:val="ListLabel 14"/>
    <w:qFormat/>
    <w:rPr>
      <w:rFonts w:cs="Times New Roman"/>
      <w:sz w:val="28"/>
      <w:szCs w:val="28"/>
    </w:rPr>
  </w:style>
  <w:style w:type="character" w:customStyle="1" w:styleId="ListLabel15">
    <w:name w:val="ListLabel 15"/>
    <w:qFormat/>
    <w:rPr>
      <w:rFonts w:cs="Times New Roman"/>
      <w:sz w:val="28"/>
      <w:szCs w:val="28"/>
    </w:rPr>
  </w:style>
  <w:style w:type="character" w:customStyle="1" w:styleId="ListLabel16">
    <w:name w:val="ListLabel 16"/>
    <w:qFormat/>
    <w:rPr>
      <w:rFonts w:cs="Times New Roman"/>
      <w:sz w:val="28"/>
      <w:szCs w:val="28"/>
    </w:rPr>
  </w:style>
  <w:style w:type="character" w:customStyle="1" w:styleId="ListLabel17">
    <w:name w:val="ListLabel 17"/>
    <w:qFormat/>
    <w:rPr>
      <w:rFonts w:cs="Times New Roman"/>
      <w:sz w:val="28"/>
      <w:szCs w:val="28"/>
    </w:rPr>
  </w:style>
  <w:style w:type="character" w:customStyle="1" w:styleId="ListLabel18">
    <w:name w:val="ListLabel 18"/>
    <w:qFormat/>
    <w:rPr>
      <w:rFonts w:cs="Times New Roman"/>
      <w:sz w:val="28"/>
      <w:szCs w:val="28"/>
    </w:rPr>
  </w:style>
  <w:style w:type="character" w:customStyle="1" w:styleId="ListLabel19">
    <w:name w:val="ListLabel 19"/>
    <w:qFormat/>
    <w:rPr>
      <w:rFonts w:cs="Times New Roman"/>
      <w:sz w:val="28"/>
      <w:szCs w:val="28"/>
    </w:rPr>
  </w:style>
  <w:style w:type="character" w:customStyle="1" w:styleId="ListLabel20">
    <w:name w:val="ListLabel 20"/>
    <w:qFormat/>
    <w:rPr>
      <w:rFonts w:cs="Times New Roman"/>
      <w:sz w:val="28"/>
      <w:szCs w:val="28"/>
    </w:rPr>
  </w:style>
  <w:style w:type="character" w:customStyle="1" w:styleId="ListLabel21">
    <w:name w:val="ListLabel 21"/>
    <w:qFormat/>
    <w:rPr>
      <w:rFonts w:cs="Times New Roman"/>
      <w:sz w:val="28"/>
      <w:szCs w:val="28"/>
    </w:rPr>
  </w:style>
  <w:style w:type="character" w:customStyle="1" w:styleId="ListLabel22">
    <w:name w:val="ListLabel 22"/>
    <w:qFormat/>
    <w:rPr>
      <w:rFonts w:cs="Times New Roman"/>
      <w:sz w:val="28"/>
      <w:szCs w:val="28"/>
    </w:rPr>
  </w:style>
  <w:style w:type="character" w:customStyle="1" w:styleId="ListLabel23">
    <w:name w:val="ListLabel 23"/>
    <w:qFormat/>
    <w:rPr>
      <w:rFonts w:cs="Times New Roman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StyleZakonu">
    <w:name w:val="StyleZakonu"/>
    <w:basedOn w:val="a"/>
    <w:qFormat/>
    <w:pPr>
      <w:spacing w:after="60" w:line="220" w:lineRule="exact"/>
      <w:ind w:firstLine="284"/>
      <w:jc w:val="both"/>
    </w:pPr>
    <w:rPr>
      <w:bCs w:val="0"/>
      <w:sz w:val="20"/>
      <w:szCs w:val="20"/>
    </w:rPr>
  </w:style>
  <w:style w:type="paragraph" w:styleId="ac">
    <w:name w:val="List Paragraph"/>
    <w:basedOn w:val="a"/>
    <w:qFormat/>
    <w:pPr>
      <w:suppressAutoHyphens w:val="0"/>
      <w:ind w:left="720"/>
    </w:pPr>
    <w:rPr>
      <w:rFonts w:ascii="Calibri" w:hAnsi="Calibri" w:cs="Calibri"/>
      <w:bCs w:val="0"/>
      <w:sz w:val="24"/>
      <w:lang w:val="en-US"/>
    </w:rPr>
  </w:style>
  <w:style w:type="paragraph" w:styleId="HTML">
    <w:name w:val="HTML Preformatted"/>
    <w:basedOn w:val="a"/>
    <w:qFormat/>
    <w:rPr>
      <w:rFonts w:ascii="Courier New" w:hAnsi="Courier New" w:cs="Courier New"/>
      <w:bCs w:val="0"/>
      <w:sz w:val="20"/>
      <w:szCs w:val="20"/>
    </w:rPr>
  </w:style>
  <w:style w:type="paragraph" w:customStyle="1" w:styleId="Normalny1">
    <w:name w:val="Normalny1"/>
    <w:qFormat/>
    <w:pPr>
      <w:suppressAutoHyphens/>
      <w:spacing w:line="276" w:lineRule="auto"/>
    </w:pPr>
    <w:rPr>
      <w:rFonts w:ascii="Arial" w:eastAsia="Times New Roman" w:hAnsi="Arial"/>
      <w:color w:val="000000"/>
      <w:sz w:val="22"/>
      <w:szCs w:val="22"/>
      <w:lang w:val="pl-PL" w:bidi="ar-SA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table" w:styleId="af2">
    <w:name w:val="Table Grid"/>
    <w:basedOn w:val="a1"/>
    <w:uiPriority w:val="59"/>
    <w:rsid w:val="000D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1114</Words>
  <Characters>636</Characters>
  <Application>Microsoft Office Word</Application>
  <DocSecurity>0</DocSecurity>
  <Lines>5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Serhii Omelchuk</cp:lastModifiedBy>
  <cp:revision>165</cp:revision>
  <cp:lastPrinted>2023-03-27T09:14:00Z</cp:lastPrinted>
  <dcterms:created xsi:type="dcterms:W3CDTF">2017-10-31T16:30:00Z</dcterms:created>
  <dcterms:modified xsi:type="dcterms:W3CDTF">2023-05-15T14:48:00Z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