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8F6B" w14:textId="77777777" w:rsidR="0017620F" w:rsidRDefault="00000000">
      <w:pPr>
        <w:spacing w:after="0" w:line="240" w:lineRule="auto"/>
        <w:ind w:firstLine="567"/>
        <w:jc w:val="center"/>
        <w:rPr>
          <w:rFonts w:ascii="Times New Roman" w:hAnsi="Times New Roman"/>
          <w:sz w:val="28"/>
          <w:szCs w:val="28"/>
          <w:lang w:val="uk-UA"/>
        </w:rPr>
      </w:pPr>
      <w:bookmarkStart w:id="0" w:name="_Hlk155101560"/>
      <w:r>
        <w:rPr>
          <w:rFonts w:ascii="Times New Roman" w:hAnsi="Times New Roman"/>
          <w:b/>
          <w:bCs/>
          <w:sz w:val="28"/>
          <w:szCs w:val="28"/>
          <w:lang w:val="uk-UA"/>
        </w:rPr>
        <w:t>ЗВІТ</w:t>
      </w:r>
    </w:p>
    <w:p w14:paraId="07E7DC4F" w14:textId="77777777" w:rsidR="0017620F" w:rsidRDefault="00000000">
      <w:pPr>
        <w:spacing w:after="0" w:line="240" w:lineRule="auto"/>
        <w:ind w:firstLine="567"/>
        <w:jc w:val="center"/>
        <w:rPr>
          <w:rFonts w:ascii="Times New Roman" w:hAnsi="Times New Roman"/>
          <w:sz w:val="28"/>
          <w:szCs w:val="28"/>
          <w:lang w:val="uk-UA"/>
        </w:rPr>
      </w:pPr>
      <w:r>
        <w:rPr>
          <w:rFonts w:ascii="Times New Roman" w:hAnsi="Times New Roman"/>
          <w:b/>
          <w:bCs/>
          <w:sz w:val="28"/>
          <w:szCs w:val="28"/>
          <w:lang w:val="uk-UA"/>
        </w:rPr>
        <w:t>про роботу ЛСКАП «</w:t>
      </w:r>
      <w:proofErr w:type="spellStart"/>
      <w:r>
        <w:rPr>
          <w:rFonts w:ascii="Times New Roman" w:hAnsi="Times New Roman"/>
          <w:b/>
          <w:bCs/>
          <w:sz w:val="28"/>
          <w:szCs w:val="28"/>
          <w:lang w:val="uk-UA"/>
        </w:rPr>
        <w:t>Луцькспецкомунтранс</w:t>
      </w:r>
      <w:proofErr w:type="spellEnd"/>
      <w:r>
        <w:rPr>
          <w:rFonts w:ascii="Times New Roman" w:hAnsi="Times New Roman"/>
          <w:b/>
          <w:bCs/>
          <w:sz w:val="28"/>
          <w:szCs w:val="28"/>
          <w:lang w:val="uk-UA"/>
        </w:rPr>
        <w:t>»</w:t>
      </w:r>
    </w:p>
    <w:p w14:paraId="64FB6D68" w14:textId="5B8409F7" w:rsidR="0017620F" w:rsidRDefault="00000000">
      <w:pPr>
        <w:spacing w:after="0" w:line="240" w:lineRule="auto"/>
        <w:ind w:firstLine="567"/>
        <w:jc w:val="center"/>
        <w:rPr>
          <w:rFonts w:ascii="Times New Roman" w:hAnsi="Times New Roman"/>
          <w:sz w:val="28"/>
          <w:szCs w:val="28"/>
          <w:lang w:val="uk-UA"/>
        </w:rPr>
      </w:pPr>
      <w:r>
        <w:rPr>
          <w:rFonts w:ascii="Times New Roman" w:hAnsi="Times New Roman"/>
          <w:b/>
          <w:bCs/>
          <w:sz w:val="28"/>
          <w:szCs w:val="28"/>
          <w:lang w:val="uk-UA"/>
        </w:rPr>
        <w:t>у 2021</w:t>
      </w:r>
      <w:r w:rsidR="00932589">
        <w:rPr>
          <w:rFonts w:ascii="Times New Roman" w:hAnsi="Times New Roman"/>
          <w:b/>
          <w:bCs/>
          <w:sz w:val="28"/>
          <w:szCs w:val="28"/>
          <w:lang w:val="uk-UA"/>
        </w:rPr>
        <w:t>–</w:t>
      </w:r>
      <w:r>
        <w:rPr>
          <w:rFonts w:ascii="Times New Roman" w:hAnsi="Times New Roman"/>
          <w:b/>
          <w:bCs/>
          <w:sz w:val="28"/>
          <w:szCs w:val="28"/>
          <w:lang w:val="uk-UA"/>
        </w:rPr>
        <w:t xml:space="preserve">2023 роках  </w:t>
      </w:r>
    </w:p>
    <w:p w14:paraId="1CA11D27" w14:textId="77777777" w:rsidR="0017620F" w:rsidRDefault="00000000">
      <w:pPr>
        <w:spacing w:after="0" w:line="240" w:lineRule="auto"/>
        <w:ind w:firstLine="567"/>
        <w:jc w:val="center"/>
        <w:rPr>
          <w:rFonts w:ascii="Times New Roman" w:hAnsi="Times New Roman"/>
          <w:sz w:val="28"/>
          <w:szCs w:val="28"/>
          <w:lang w:val="uk-UA"/>
        </w:rPr>
      </w:pPr>
      <w:r>
        <w:rPr>
          <w:rFonts w:ascii="Times New Roman" w:hAnsi="Times New Roman"/>
          <w:b/>
          <w:bCs/>
          <w:sz w:val="28"/>
          <w:szCs w:val="28"/>
          <w:lang w:val="uk-UA"/>
        </w:rPr>
        <w:t xml:space="preserve"> </w:t>
      </w:r>
    </w:p>
    <w:p w14:paraId="6BE829FF"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Основним видом діяльності</w:t>
      </w:r>
      <w:r>
        <w:rPr>
          <w:rFonts w:ascii="Times New Roman" w:hAnsi="Times New Roman"/>
          <w:sz w:val="28"/>
          <w:szCs w:val="28"/>
          <w:lang w:val="uk-UA"/>
        </w:rPr>
        <w:t xml:space="preserve"> ЛСКАП «</w:t>
      </w:r>
      <w:proofErr w:type="spellStart"/>
      <w:r>
        <w:rPr>
          <w:rFonts w:ascii="Times New Roman" w:hAnsi="Times New Roman"/>
          <w:sz w:val="28"/>
          <w:szCs w:val="28"/>
          <w:lang w:val="uk-UA"/>
        </w:rPr>
        <w:t>Луцькспецкомунтранс</w:t>
      </w:r>
      <w:proofErr w:type="spellEnd"/>
      <w:r>
        <w:rPr>
          <w:rFonts w:ascii="Times New Roman" w:hAnsi="Times New Roman"/>
          <w:sz w:val="28"/>
          <w:szCs w:val="28"/>
          <w:lang w:val="uk-UA"/>
        </w:rPr>
        <w:t xml:space="preserve">» є надання послуг з поводження з побутовими відходами населенню та юридичним особам – мешканцям Луцької міської територіальної громади (м. Луцьк, </w:t>
      </w:r>
      <w:proofErr w:type="spellStart"/>
      <w:r>
        <w:rPr>
          <w:rFonts w:ascii="Times New Roman" w:hAnsi="Times New Roman"/>
          <w:sz w:val="28"/>
          <w:szCs w:val="28"/>
          <w:lang w:val="uk-UA"/>
        </w:rPr>
        <w:t>Княгининівський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Жидичинський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Заборольський</w:t>
      </w:r>
      <w:proofErr w:type="spellEnd"/>
      <w:r>
        <w:rPr>
          <w:rFonts w:ascii="Times New Roman" w:hAnsi="Times New Roman"/>
          <w:sz w:val="28"/>
          <w:szCs w:val="28"/>
          <w:lang w:val="uk-UA"/>
        </w:rPr>
        <w:t xml:space="preserve">, Боголюбський та Прилуцький </w:t>
      </w:r>
      <w:proofErr w:type="spellStart"/>
      <w:r>
        <w:rPr>
          <w:rFonts w:ascii="Times New Roman" w:hAnsi="Times New Roman"/>
          <w:sz w:val="28"/>
          <w:szCs w:val="28"/>
          <w:lang w:val="uk-UA"/>
        </w:rPr>
        <w:t>старостинський</w:t>
      </w:r>
      <w:proofErr w:type="spellEnd"/>
      <w:r>
        <w:rPr>
          <w:rFonts w:ascii="Times New Roman" w:hAnsi="Times New Roman"/>
          <w:sz w:val="28"/>
          <w:szCs w:val="28"/>
          <w:lang w:val="uk-UA"/>
        </w:rPr>
        <w:t xml:space="preserve"> округи).</w:t>
      </w:r>
    </w:p>
    <w:p w14:paraId="44A00AC1"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Підприємством надаються також послуги по санітарному прибиранню міста, зимовому утриманню доріг, ліквідації стихійних сміттєзвалищ, обслуговуванню та поточному ремонту мереж зливової каналізації, нанесення дорожньої розмітки, послуги спецтехніки, маніпулятором та «</w:t>
      </w:r>
      <w:proofErr w:type="spellStart"/>
      <w:r>
        <w:rPr>
          <w:rFonts w:ascii="Times New Roman" w:hAnsi="Times New Roman"/>
          <w:sz w:val="28"/>
          <w:szCs w:val="28"/>
          <w:lang w:val="uk-UA"/>
        </w:rPr>
        <w:t>бобкатом</w:t>
      </w:r>
      <w:proofErr w:type="spellEnd"/>
      <w:r>
        <w:rPr>
          <w:rFonts w:ascii="Times New Roman" w:hAnsi="Times New Roman"/>
          <w:sz w:val="28"/>
          <w:szCs w:val="28"/>
          <w:lang w:val="uk-UA"/>
        </w:rPr>
        <w:t>», інші роботи та послуги.</w:t>
      </w:r>
    </w:p>
    <w:p w14:paraId="4AC97657" w14:textId="1395A470"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Рішенням міської ради від 27.07.2022 № 33/41 на баланс підприємству  переданий полігон твердих побутових відходів у с. </w:t>
      </w:r>
      <w:proofErr w:type="spellStart"/>
      <w:r>
        <w:rPr>
          <w:rFonts w:ascii="Times New Roman" w:hAnsi="Times New Roman"/>
          <w:sz w:val="28"/>
          <w:szCs w:val="28"/>
          <w:lang w:val="uk-UA"/>
        </w:rPr>
        <w:t>Брище</w:t>
      </w:r>
      <w:proofErr w:type="spellEnd"/>
      <w:r>
        <w:rPr>
          <w:rFonts w:ascii="Times New Roman" w:hAnsi="Times New Roman"/>
          <w:sz w:val="28"/>
          <w:szCs w:val="28"/>
          <w:lang w:val="uk-UA"/>
        </w:rPr>
        <w:t>.</w:t>
      </w:r>
      <w:r>
        <w:rPr>
          <w:rFonts w:ascii="Times New Roman" w:hAnsi="Times New Roman"/>
          <w:sz w:val="28"/>
          <w:szCs w:val="28"/>
          <w:lang w:val="uk-UA" w:eastAsia="uk-UA"/>
        </w:rPr>
        <w:t xml:space="preserve"> Передане також право постійного користування </w:t>
      </w:r>
      <w:r w:rsidR="00932589">
        <w:rPr>
          <w:rFonts w:ascii="Times New Roman" w:hAnsi="Times New Roman"/>
          <w:sz w:val="28"/>
          <w:szCs w:val="28"/>
          <w:lang w:val="uk-UA" w:eastAsia="uk-UA"/>
        </w:rPr>
        <w:t>чотир</w:t>
      </w:r>
      <w:r>
        <w:rPr>
          <w:rFonts w:ascii="Times New Roman" w:hAnsi="Times New Roman"/>
          <w:sz w:val="28"/>
          <w:szCs w:val="28"/>
          <w:lang w:val="uk-UA" w:eastAsia="uk-UA"/>
        </w:rPr>
        <w:t>ма земельними ділянками під полігоном у с. </w:t>
      </w:r>
      <w:proofErr w:type="spellStart"/>
      <w:r>
        <w:rPr>
          <w:rFonts w:ascii="Times New Roman" w:hAnsi="Times New Roman"/>
          <w:sz w:val="28"/>
          <w:szCs w:val="28"/>
          <w:lang w:val="uk-UA" w:eastAsia="uk-UA"/>
        </w:rPr>
        <w:t>Брище</w:t>
      </w:r>
      <w:proofErr w:type="spellEnd"/>
      <w:r>
        <w:rPr>
          <w:rFonts w:ascii="Times New Roman" w:hAnsi="Times New Roman"/>
          <w:sz w:val="28"/>
          <w:szCs w:val="28"/>
          <w:lang w:val="uk-UA" w:eastAsia="uk-UA"/>
        </w:rPr>
        <w:t xml:space="preserve"> загальною площею понад 21 га.</w:t>
      </w:r>
    </w:p>
    <w:p w14:paraId="2DCDB47C" w14:textId="0F6C02C6"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Завдячуючи підтримці та розумінню проблематики, за рахунок коштів міського бюджету загалом протягом 2022</w:t>
      </w:r>
      <w:r w:rsidR="00932589">
        <w:rPr>
          <w:rFonts w:ascii="Times New Roman" w:hAnsi="Times New Roman"/>
          <w:sz w:val="28"/>
          <w:szCs w:val="28"/>
          <w:lang w:val="uk-UA"/>
        </w:rPr>
        <w:t>–</w:t>
      </w:r>
      <w:r>
        <w:rPr>
          <w:rFonts w:ascii="Times New Roman" w:hAnsi="Times New Roman"/>
          <w:sz w:val="28"/>
          <w:szCs w:val="28"/>
          <w:lang w:val="uk-UA"/>
        </w:rPr>
        <w:t>2023 років виконано робіт по обвалуванню та пересипці полігону на 15,4 млн грн (8,4 млн грн – у 2022 році та 7,0 млн грн – у 2023 році).</w:t>
      </w:r>
    </w:p>
    <w:p w14:paraId="4791BA76"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Підприємством розроблена нова методологія складування відходів, що дозволяє значно заощаджувати об’єми використання полігону.</w:t>
      </w:r>
    </w:p>
    <w:p w14:paraId="3CAB0A4C" w14:textId="3DB31835"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Також в ході експлуатації полігону, запроваджена нова, не існуюча раніше, функція – ущільнення накопичених відходів, що дозволяє суттєво збільшити терміни експлуатації карти полігону та зменшити об’єми  </w:t>
      </w:r>
      <w:proofErr w:type="spellStart"/>
      <w:r>
        <w:rPr>
          <w:rFonts w:ascii="Times New Roman" w:hAnsi="Times New Roman"/>
          <w:sz w:val="28"/>
          <w:szCs w:val="28"/>
          <w:lang w:val="uk-UA"/>
        </w:rPr>
        <w:t>захоронених</w:t>
      </w:r>
      <w:proofErr w:type="spellEnd"/>
      <w:r>
        <w:rPr>
          <w:rFonts w:ascii="Times New Roman" w:hAnsi="Times New Roman"/>
          <w:sz w:val="28"/>
          <w:szCs w:val="28"/>
          <w:lang w:val="uk-UA"/>
        </w:rPr>
        <w:t xml:space="preserve"> відходів.</w:t>
      </w:r>
    </w:p>
    <w:p w14:paraId="08B6DFC0" w14:textId="77777777" w:rsidR="0017620F" w:rsidRDefault="00000000">
      <w:pPr>
        <w:pStyle w:val="aa"/>
        <w:spacing w:after="0" w:line="240" w:lineRule="auto"/>
        <w:ind w:firstLine="567"/>
        <w:jc w:val="both"/>
        <w:rPr>
          <w:rFonts w:ascii="Times New Roman" w:hAnsi="Times New Roman"/>
          <w:sz w:val="28"/>
          <w:szCs w:val="28"/>
          <w:lang w:val="uk-UA"/>
        </w:rPr>
      </w:pPr>
      <w:r>
        <w:rPr>
          <w:rFonts w:ascii="Times New Roman" w:hAnsi="Times New Roman" w:cs="Calibri"/>
          <w:sz w:val="28"/>
          <w:szCs w:val="28"/>
          <w:lang w:val="uk-UA"/>
        </w:rPr>
        <w:t xml:space="preserve">У </w:t>
      </w:r>
      <w:r>
        <w:rPr>
          <w:rFonts w:ascii="Times New Roman" w:hAnsi="Times New Roman"/>
          <w:color w:val="000000"/>
          <w:sz w:val="28"/>
          <w:szCs w:val="28"/>
          <w:lang w:val="uk-UA"/>
        </w:rPr>
        <w:t>2023 </w:t>
      </w:r>
      <w:r>
        <w:rPr>
          <w:rFonts w:ascii="Times New Roman" w:hAnsi="Times New Roman" w:cs="Calibri"/>
          <w:color w:val="000000"/>
          <w:sz w:val="28"/>
          <w:szCs w:val="28"/>
          <w:lang w:val="uk-UA"/>
        </w:rPr>
        <w:t>році</w:t>
      </w:r>
      <w:r>
        <w:rPr>
          <w:rFonts w:ascii="Times New Roman" w:hAnsi="Times New Roman" w:cs="Calibri"/>
          <w:sz w:val="28"/>
          <w:szCs w:val="28"/>
          <w:lang w:val="uk-UA"/>
        </w:rPr>
        <w:t xml:space="preserve"> реалізований </w:t>
      </w:r>
      <w:proofErr w:type="spellStart"/>
      <w:r>
        <w:rPr>
          <w:rFonts w:ascii="Times New Roman" w:hAnsi="Times New Roman" w:cs="Calibri"/>
          <w:sz w:val="28"/>
          <w:szCs w:val="28"/>
          <w:lang w:val="uk-UA"/>
        </w:rPr>
        <w:t>проєкт</w:t>
      </w:r>
      <w:proofErr w:type="spellEnd"/>
      <w:r>
        <w:rPr>
          <w:rFonts w:ascii="Times New Roman" w:hAnsi="Times New Roman" w:cs="Calibri"/>
          <w:sz w:val="28"/>
          <w:szCs w:val="28"/>
          <w:lang w:val="uk-UA"/>
        </w:rPr>
        <w:t xml:space="preserve"> міжнародної технічної допомоги </w:t>
      </w:r>
      <w:r>
        <w:rPr>
          <w:rFonts w:ascii="Times New Roman" w:hAnsi="Times New Roman" w:cs="Calibri"/>
          <w:spacing w:val="-1"/>
          <w:sz w:val="28"/>
          <w:szCs w:val="28"/>
          <w:lang w:val="uk-UA" w:eastAsia="uk-UA"/>
        </w:rPr>
        <w:t>«</w:t>
      </w:r>
      <w:r>
        <w:rPr>
          <w:rFonts w:ascii="Times New Roman" w:hAnsi="Times New Roman" w:cs="Calibri"/>
          <w:spacing w:val="-4"/>
          <w:sz w:val="28"/>
          <w:szCs w:val="28"/>
          <w:lang w:val="uk-UA" w:eastAsia="uk-UA"/>
        </w:rPr>
        <w:t>Спільний пош</w:t>
      </w:r>
      <w:r>
        <w:rPr>
          <w:rFonts w:ascii="Times New Roman" w:hAnsi="Times New Roman"/>
          <w:spacing w:val="-4"/>
          <w:sz w:val="28"/>
          <w:szCs w:val="28"/>
          <w:lang w:val="uk-UA" w:eastAsia="uk-UA"/>
        </w:rPr>
        <w:t>ук нових рішень у комунальному господарстві: поводження з органічними відходами у Луцькій міській територіальній громаді</w:t>
      </w:r>
      <w:r>
        <w:rPr>
          <w:rFonts w:ascii="Times New Roman" w:hAnsi="Times New Roman"/>
          <w:spacing w:val="-1"/>
          <w:sz w:val="28"/>
          <w:szCs w:val="28"/>
          <w:lang w:val="uk-UA" w:eastAsia="uk-UA"/>
        </w:rPr>
        <w:t>»</w:t>
      </w:r>
      <w:r>
        <w:rPr>
          <w:rFonts w:ascii="Times New Roman" w:hAnsi="Times New Roman"/>
          <w:sz w:val="28"/>
          <w:szCs w:val="28"/>
          <w:lang w:val="uk-UA"/>
        </w:rPr>
        <w:t xml:space="preserve"> (Програма </w:t>
      </w:r>
      <w:r>
        <w:rPr>
          <w:rFonts w:ascii="Times New Roman" w:hAnsi="Times New Roman"/>
          <w:spacing w:val="-1"/>
          <w:sz w:val="28"/>
          <w:szCs w:val="28"/>
          <w:lang w:val="uk-UA" w:eastAsia="uk-UA"/>
        </w:rPr>
        <w:t xml:space="preserve">«Сталий розвиток громад через партнерські </w:t>
      </w:r>
      <w:proofErr w:type="spellStart"/>
      <w:r>
        <w:rPr>
          <w:rFonts w:ascii="Times New Roman" w:hAnsi="Times New Roman"/>
          <w:spacing w:val="-1"/>
          <w:sz w:val="28"/>
          <w:szCs w:val="28"/>
          <w:lang w:val="uk-UA" w:eastAsia="uk-UA"/>
        </w:rPr>
        <w:t>проєкти</w:t>
      </w:r>
      <w:proofErr w:type="spellEnd"/>
      <w:r>
        <w:rPr>
          <w:rFonts w:ascii="Times New Roman" w:hAnsi="Times New Roman"/>
          <w:spacing w:val="-1"/>
          <w:sz w:val="28"/>
          <w:szCs w:val="28"/>
          <w:lang w:val="uk-UA" w:eastAsia="uk-UA"/>
        </w:rPr>
        <w:t> </w:t>
      </w:r>
      <w:r>
        <w:rPr>
          <w:rFonts w:ascii="Times New Roman" w:hAnsi="Times New Roman"/>
          <w:spacing w:val="-2"/>
          <w:sz w:val="28"/>
          <w:szCs w:val="28"/>
          <w:lang w:val="uk-UA"/>
        </w:rPr>
        <w:t>– </w:t>
      </w:r>
      <w:r>
        <w:rPr>
          <w:rFonts w:ascii="Times New Roman" w:hAnsi="Times New Roman"/>
          <w:sz w:val="28"/>
          <w:szCs w:val="28"/>
          <w:lang w:val="uk-UA"/>
        </w:rPr>
        <w:t>NAKOPA 2020</w:t>
      </w:r>
      <w:r>
        <w:rPr>
          <w:rFonts w:ascii="Times New Roman" w:hAnsi="Times New Roman"/>
          <w:spacing w:val="-1"/>
          <w:sz w:val="28"/>
          <w:szCs w:val="28"/>
          <w:lang w:val="uk-UA" w:eastAsia="uk-UA"/>
        </w:rPr>
        <w:t>»</w:t>
      </w:r>
      <w:r>
        <w:rPr>
          <w:rFonts w:ascii="Times New Roman" w:hAnsi="Times New Roman"/>
          <w:sz w:val="28"/>
          <w:szCs w:val="28"/>
          <w:lang w:val="uk-UA"/>
        </w:rPr>
        <w:t xml:space="preserve"> за підтримки Федерального міністерства економічного співробітництва і розвитку ФРН). </w:t>
      </w:r>
      <w:r>
        <w:rPr>
          <w:rFonts w:ascii="Times New Roman" w:hAnsi="Times New Roman"/>
          <w:sz w:val="28"/>
          <w:szCs w:val="28"/>
          <w:shd w:val="clear" w:color="auto" w:fill="FFFFFF"/>
          <w:lang w:val="uk-UA"/>
        </w:rPr>
        <w:t xml:space="preserve">В рамках </w:t>
      </w:r>
      <w:proofErr w:type="spellStart"/>
      <w:r>
        <w:rPr>
          <w:rFonts w:ascii="Times New Roman" w:hAnsi="Times New Roman"/>
          <w:sz w:val="28"/>
          <w:szCs w:val="28"/>
          <w:shd w:val="clear" w:color="auto" w:fill="FFFFFF"/>
          <w:lang w:val="uk-UA"/>
        </w:rPr>
        <w:t>проєкту</w:t>
      </w:r>
      <w:proofErr w:type="spellEnd"/>
      <w:r>
        <w:rPr>
          <w:rFonts w:ascii="Times New Roman" w:hAnsi="Times New Roman"/>
          <w:sz w:val="28"/>
          <w:szCs w:val="28"/>
          <w:shd w:val="clear" w:color="auto" w:fill="FFFFFF"/>
          <w:lang w:val="uk-UA"/>
        </w:rPr>
        <w:t xml:space="preserve"> по реконструкції полігону розроблена ділянка по очистці фільтрату, де встановлене найсучасніше обладнання </w:t>
      </w:r>
      <w:proofErr w:type="spellStart"/>
      <w:r>
        <w:rPr>
          <w:rFonts w:ascii="Times New Roman" w:hAnsi="Times New Roman"/>
          <w:sz w:val="28"/>
          <w:szCs w:val="28"/>
          <w:shd w:val="clear" w:color="auto" w:fill="FFFFFF"/>
          <w:lang w:val="uk-UA"/>
        </w:rPr>
        <w:t>зворотнього</w:t>
      </w:r>
      <w:proofErr w:type="spellEnd"/>
      <w:r>
        <w:rPr>
          <w:rFonts w:ascii="Times New Roman" w:hAnsi="Times New Roman"/>
          <w:sz w:val="28"/>
          <w:szCs w:val="28"/>
          <w:shd w:val="clear" w:color="auto" w:fill="FFFFFF"/>
          <w:lang w:val="uk-UA"/>
        </w:rPr>
        <w:t xml:space="preserve"> осмосу.</w:t>
      </w:r>
    </w:p>
    <w:p w14:paraId="6AB28FEE" w14:textId="1AB47E86"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 рамках співробітництва територіальних громад у формі реалізації спільного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у сфері управління побутовими відходами вдалось долучити </w:t>
      </w:r>
      <w:proofErr w:type="spellStart"/>
      <w:r>
        <w:rPr>
          <w:rFonts w:ascii="Times New Roman" w:hAnsi="Times New Roman"/>
          <w:sz w:val="28"/>
          <w:szCs w:val="28"/>
          <w:lang w:val="uk-UA"/>
        </w:rPr>
        <w:t>Рожищенську</w:t>
      </w:r>
      <w:proofErr w:type="spellEnd"/>
      <w:r>
        <w:rPr>
          <w:rFonts w:ascii="Times New Roman" w:hAnsi="Times New Roman"/>
          <w:sz w:val="28"/>
          <w:szCs w:val="28"/>
          <w:lang w:val="uk-UA"/>
        </w:rPr>
        <w:t xml:space="preserve"> міську, </w:t>
      </w:r>
      <w:proofErr w:type="spellStart"/>
      <w:r>
        <w:rPr>
          <w:rFonts w:ascii="Times New Roman" w:hAnsi="Times New Roman"/>
          <w:sz w:val="28"/>
          <w:szCs w:val="28"/>
          <w:lang w:val="uk-UA"/>
        </w:rPr>
        <w:t>Підгайцівську</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Боратинську</w:t>
      </w:r>
      <w:proofErr w:type="spellEnd"/>
      <w:r>
        <w:rPr>
          <w:rFonts w:ascii="Times New Roman" w:hAnsi="Times New Roman"/>
          <w:sz w:val="28"/>
          <w:szCs w:val="28"/>
          <w:lang w:val="uk-UA"/>
        </w:rPr>
        <w:t xml:space="preserve"> сільські територіальні громади для забезпечення безперебійного функціонування та належного утримання полігону твердих побутових відходів у с. </w:t>
      </w:r>
      <w:proofErr w:type="spellStart"/>
      <w:r>
        <w:rPr>
          <w:rFonts w:ascii="Times New Roman" w:hAnsi="Times New Roman"/>
          <w:sz w:val="28"/>
          <w:szCs w:val="28"/>
          <w:lang w:val="uk-UA"/>
        </w:rPr>
        <w:t>Брище</w:t>
      </w:r>
      <w:proofErr w:type="spellEnd"/>
      <w:r>
        <w:rPr>
          <w:rFonts w:ascii="Times New Roman" w:hAnsi="Times New Roman"/>
          <w:sz w:val="28"/>
          <w:szCs w:val="28"/>
          <w:lang w:val="uk-UA"/>
        </w:rPr>
        <w:t>, а саме: шляхом співфінансування громад придбана вкрай необхідна техніка −</w:t>
      </w:r>
      <w:r>
        <w:rPr>
          <w:rFonts w:ascii="Times New Roman" w:hAnsi="Times New Roman" w:cs="Arial"/>
          <w:sz w:val="28"/>
          <w:szCs w:val="28"/>
          <w:lang w:val="uk-UA"/>
        </w:rPr>
        <w:t xml:space="preserve"> </w:t>
      </w:r>
      <w:r>
        <w:rPr>
          <w:rFonts w:ascii="Times New Roman" w:hAnsi="Times New Roman"/>
          <w:sz w:val="28"/>
          <w:szCs w:val="28"/>
          <w:lang w:val="uk-UA"/>
        </w:rPr>
        <w:t>два бульдозери CAT D6N XL та телескопічний навантажувач.</w:t>
      </w:r>
    </w:p>
    <w:p w14:paraId="5F488CBA" w14:textId="77777777" w:rsidR="0017620F" w:rsidRDefault="00000000">
      <w:pPr>
        <w:pStyle w:val="aa"/>
        <w:spacing w:after="0"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В кінці 2023 року отриманий позитивний експертний висновок щодо </w:t>
      </w:r>
      <w:proofErr w:type="spellStart"/>
      <w:r>
        <w:rPr>
          <w:rFonts w:ascii="Times New Roman" w:hAnsi="Times New Roman"/>
          <w:sz w:val="28"/>
          <w:szCs w:val="28"/>
          <w:shd w:val="clear" w:color="auto" w:fill="FFFFFF"/>
          <w:lang w:val="uk-UA"/>
        </w:rPr>
        <w:t>проєктно</w:t>
      </w:r>
      <w:proofErr w:type="spellEnd"/>
      <w:r>
        <w:rPr>
          <w:rFonts w:ascii="Times New Roman" w:hAnsi="Times New Roman"/>
          <w:sz w:val="28"/>
          <w:szCs w:val="28"/>
          <w:shd w:val="clear" w:color="auto" w:fill="FFFFFF"/>
          <w:lang w:val="uk-UA"/>
        </w:rPr>
        <w:t>-кошторисної документації по реконструкції та рекультивації старих частин полігону твердих побутових відходів.</w:t>
      </w:r>
    </w:p>
    <w:p w14:paraId="7D4BB1A7" w14:textId="77777777" w:rsidR="0017620F" w:rsidRDefault="00000000">
      <w:pPr>
        <w:pStyle w:val="aa"/>
        <w:spacing w:after="0"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lastRenderedPageBreak/>
        <w:t xml:space="preserve">Ведуться підготовчі роботи по будівництву </w:t>
      </w:r>
      <w:proofErr w:type="spellStart"/>
      <w:r>
        <w:rPr>
          <w:rFonts w:ascii="Times New Roman" w:hAnsi="Times New Roman"/>
          <w:sz w:val="28"/>
          <w:szCs w:val="28"/>
          <w:shd w:val="clear" w:color="auto" w:fill="FFFFFF"/>
          <w:lang w:val="uk-UA"/>
        </w:rPr>
        <w:t>сміттєпереробного</w:t>
      </w:r>
      <w:proofErr w:type="spellEnd"/>
      <w:r>
        <w:rPr>
          <w:rFonts w:ascii="Times New Roman" w:hAnsi="Times New Roman"/>
          <w:sz w:val="28"/>
          <w:szCs w:val="28"/>
          <w:shd w:val="clear" w:color="auto" w:fill="FFFFFF"/>
          <w:lang w:val="uk-UA"/>
        </w:rPr>
        <w:t xml:space="preserve"> комплексу на полігоні.</w:t>
      </w:r>
    </w:p>
    <w:p w14:paraId="5BEB5E0F" w14:textId="77777777" w:rsidR="0017620F" w:rsidRDefault="0017620F">
      <w:pPr>
        <w:pStyle w:val="aa"/>
        <w:spacing w:after="0" w:line="240" w:lineRule="auto"/>
        <w:ind w:firstLine="567"/>
        <w:jc w:val="both"/>
        <w:rPr>
          <w:shd w:val="clear" w:color="auto" w:fill="FFFFFF"/>
        </w:rPr>
      </w:pPr>
    </w:p>
    <w:p w14:paraId="6F84522B" w14:textId="3F6260F9" w:rsidR="0017620F" w:rsidRDefault="00000000">
      <w:pPr>
        <w:pStyle w:val="aa"/>
        <w:spacing w:after="0" w:line="240" w:lineRule="auto"/>
        <w:jc w:val="both"/>
        <w:rPr>
          <w:rFonts w:ascii="Times New Roman" w:hAnsi="Times New Roman"/>
          <w:lang w:val="uk-UA"/>
        </w:rPr>
      </w:pPr>
      <w:r>
        <w:rPr>
          <w:noProof/>
        </w:rPr>
        <w:pict w14:anchorId="48FD64F1">
          <v:rect id="shapetype_ole_rId2" o:spid="_x0000_s1026" style="position:absolute;left:0;text-align:left;margin-left:.05pt;margin-top:.05pt;width:50.05pt;height:50.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" o:allowincell="f" filled="f" stroked="f" strokeweight="0"/>
        </w:pict>
      </w:r>
      <w:r w:rsidR="00932589">
        <w:rPr>
          <w:noProof/>
        </w:rPr>
        <w:drawing>
          <wp:anchor distT="0" distB="0" distL="0" distR="0" simplePos="0" relativeHeight="3" behindDoc="0" locked="0" layoutInCell="0" allowOverlap="1" wp14:anchorId="7A5DBB1E" wp14:editId="78E05CA4">
            <wp:simplePos x="0" y="0"/>
            <wp:positionH relativeFrom="column">
              <wp:align>center</wp:align>
            </wp:positionH>
            <wp:positionV relativeFrom="paragraph">
              <wp:posOffset>635</wp:posOffset>
            </wp:positionV>
            <wp:extent cx="5939790" cy="3072765"/>
            <wp:effectExtent l="0" t="0" r="0" b="0"/>
            <wp:wrapSquare wrapText="largest"/>
            <wp:docPr id="2"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pic:cNvPicPr>
                      <a:picLocks noChangeAspect="1" noChangeArrowheads="1"/>
                    </pic:cNvPicPr>
                  </pic:nvPicPr>
                  <pic:blipFill>
                    <a:blip r:embed="rId6"/>
                    <a:stretch>
                      <a:fillRect/>
                    </a:stretch>
                  </pic:blipFill>
                  <pic:spPr bwMode="auto">
                    <a:xfrm>
                      <a:off x="0" y="0"/>
                      <a:ext cx="5939790" cy="3072765"/>
                    </a:xfrm>
                    <a:prstGeom prst="rect">
                      <a:avLst/>
                    </a:prstGeom>
                  </pic:spPr>
                </pic:pic>
              </a:graphicData>
            </a:graphic>
          </wp:anchor>
        </w:drawing>
      </w:r>
    </w:p>
    <w:p w14:paraId="42512AF7"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 xml:space="preserve">Підприємство застосовує контейнерну (з використанням сміттєвозів) та </w:t>
      </w:r>
      <w:proofErr w:type="spellStart"/>
      <w:r>
        <w:rPr>
          <w:rFonts w:ascii="Times New Roman" w:hAnsi="Times New Roman"/>
          <w:sz w:val="28"/>
          <w:szCs w:val="28"/>
          <w:lang w:val="uk-UA" w:eastAsia="uk-UA"/>
        </w:rPr>
        <w:t>безконтейнерну</w:t>
      </w:r>
      <w:proofErr w:type="spellEnd"/>
      <w:r>
        <w:rPr>
          <w:rFonts w:ascii="Times New Roman" w:hAnsi="Times New Roman"/>
          <w:sz w:val="28"/>
          <w:szCs w:val="28"/>
          <w:lang w:val="uk-UA" w:eastAsia="uk-UA"/>
        </w:rPr>
        <w:t xml:space="preserve"> (передбачає ручне завантаження), системи збирання  побутових відходів, запроваджений збір з наземних та </w:t>
      </w:r>
      <w:proofErr w:type="spellStart"/>
      <w:r>
        <w:rPr>
          <w:rFonts w:ascii="Times New Roman" w:hAnsi="Times New Roman"/>
          <w:sz w:val="28"/>
          <w:szCs w:val="28"/>
          <w:lang w:val="uk-UA" w:eastAsia="uk-UA"/>
        </w:rPr>
        <w:t>напівпідземних</w:t>
      </w:r>
      <w:proofErr w:type="spellEnd"/>
      <w:r>
        <w:rPr>
          <w:rFonts w:ascii="Times New Roman" w:hAnsi="Times New Roman"/>
          <w:sz w:val="28"/>
          <w:szCs w:val="28"/>
          <w:lang w:val="uk-UA" w:eastAsia="uk-UA"/>
        </w:rPr>
        <w:t xml:space="preserve"> контейнерів.</w:t>
      </w:r>
    </w:p>
    <w:p w14:paraId="3EEA1C93" w14:textId="40772211"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Для збору побутових відходів використовуються: для збору ТПВ − 1129 власних та 246 відомчих контейнерів; для ПЕТ-пляшки −</w:t>
      </w:r>
      <w:r>
        <w:rPr>
          <w:rFonts w:ascii="Times New Roman" w:hAnsi="Times New Roman" w:cs="Arial"/>
          <w:sz w:val="28"/>
          <w:szCs w:val="28"/>
          <w:lang w:val="uk-UA"/>
        </w:rPr>
        <w:t xml:space="preserve"> </w:t>
      </w:r>
      <w:r>
        <w:rPr>
          <w:rFonts w:ascii="Times New Roman" w:hAnsi="Times New Roman"/>
          <w:sz w:val="28"/>
          <w:szCs w:val="28"/>
          <w:lang w:val="uk-UA"/>
        </w:rPr>
        <w:t>274 власних та 155 відомчих контейнерів. Понад половина контейнерів мають стовідсотковий рівень зносу. Підприємством проводиться поступова заміна старих оцинкованих контейнерів на сучасні пластикові, які значно кращі в обслуговуванні як через меншу вагу (25</w:t>
      </w:r>
      <w:r w:rsidR="00932589">
        <w:rPr>
          <w:rFonts w:ascii="Times New Roman" w:hAnsi="Times New Roman"/>
          <w:sz w:val="28"/>
          <w:szCs w:val="28"/>
          <w:lang w:val="uk-UA"/>
        </w:rPr>
        <w:t>–</w:t>
      </w:r>
      <w:r>
        <w:rPr>
          <w:rFonts w:ascii="Times New Roman" w:hAnsi="Times New Roman"/>
          <w:sz w:val="28"/>
          <w:szCs w:val="28"/>
          <w:lang w:val="uk-UA"/>
        </w:rPr>
        <w:t>30 кг проти 80 кг оцинкованого), так і через відсутність конструктивних елементів, що потребують ремонту.</w:t>
      </w:r>
    </w:p>
    <w:p w14:paraId="3656FAE3" w14:textId="0A82A994"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 xml:space="preserve">Запроваджене та набуває популярності облаштування майданчиків зі встановлення наземних та </w:t>
      </w:r>
      <w:proofErr w:type="spellStart"/>
      <w:r>
        <w:rPr>
          <w:rFonts w:ascii="Times New Roman" w:hAnsi="Times New Roman"/>
          <w:sz w:val="28"/>
          <w:szCs w:val="28"/>
          <w:lang w:val="uk-UA" w:eastAsia="uk-UA"/>
        </w:rPr>
        <w:t>напівпідземних</w:t>
      </w:r>
      <w:proofErr w:type="spellEnd"/>
      <w:r>
        <w:rPr>
          <w:rFonts w:ascii="Times New Roman" w:hAnsi="Times New Roman"/>
          <w:sz w:val="28"/>
          <w:szCs w:val="28"/>
          <w:lang w:val="uk-UA" w:eastAsia="uk-UA"/>
        </w:rPr>
        <w:t xml:space="preserve"> контейнерів для збору відходів більших об’ємів, що замінюють від </w:t>
      </w:r>
      <w:r w:rsidR="00932589">
        <w:rPr>
          <w:rFonts w:ascii="Times New Roman" w:hAnsi="Times New Roman"/>
          <w:sz w:val="28"/>
          <w:szCs w:val="28"/>
          <w:lang w:val="uk-UA" w:eastAsia="uk-UA"/>
        </w:rPr>
        <w:t>двох</w:t>
      </w:r>
      <w:r>
        <w:rPr>
          <w:rFonts w:ascii="Times New Roman" w:hAnsi="Times New Roman"/>
          <w:sz w:val="28"/>
          <w:szCs w:val="28"/>
          <w:lang w:val="uk-UA" w:eastAsia="uk-UA"/>
        </w:rPr>
        <w:t xml:space="preserve"> до </w:t>
      </w:r>
      <w:r w:rsidR="00932589">
        <w:rPr>
          <w:rFonts w:ascii="Times New Roman" w:hAnsi="Times New Roman"/>
          <w:sz w:val="28"/>
          <w:szCs w:val="28"/>
          <w:lang w:val="uk-UA" w:eastAsia="uk-UA"/>
        </w:rPr>
        <w:t>п’яти</w:t>
      </w:r>
      <w:r>
        <w:rPr>
          <w:rFonts w:ascii="Times New Roman" w:hAnsi="Times New Roman"/>
          <w:sz w:val="28"/>
          <w:szCs w:val="28"/>
          <w:lang w:val="uk-UA" w:eastAsia="uk-UA"/>
        </w:rPr>
        <w:t xml:space="preserve"> звичних контейнерів. Таким чином обладнані майданчики мають позитивний вплив на екологічну ситуацію в громаді – сміття не розноситься навколо місць його збирання, а також значно привабливіший естетичний вигляд та зручність у користуванні для мешканців. Більш економічно вигідним такий спосіб збирання відходів є і для підприємства – дозволяє використовувати меншу кількість працівників, відповідно суттєвою є економія заробітної плати.</w:t>
      </w:r>
    </w:p>
    <w:p w14:paraId="41E394E1" w14:textId="2A2E6410"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Протягом 2023 року ЛСКАП «</w:t>
      </w:r>
      <w:proofErr w:type="spellStart"/>
      <w:r>
        <w:rPr>
          <w:rFonts w:ascii="Times New Roman" w:hAnsi="Times New Roman"/>
          <w:sz w:val="28"/>
          <w:szCs w:val="28"/>
          <w:lang w:val="uk-UA" w:eastAsia="uk-UA"/>
        </w:rPr>
        <w:t>Луцькспецкомунтранс</w:t>
      </w:r>
      <w:proofErr w:type="spellEnd"/>
      <w:r>
        <w:rPr>
          <w:rFonts w:ascii="Times New Roman" w:hAnsi="Times New Roman"/>
          <w:sz w:val="28"/>
          <w:szCs w:val="28"/>
          <w:lang w:val="uk-UA" w:eastAsia="uk-UA"/>
        </w:rPr>
        <w:t>» власним коштом обладнало 10 майданчиків для збору відходів, на яких встановлені 17 </w:t>
      </w:r>
      <w:proofErr w:type="spellStart"/>
      <w:r>
        <w:rPr>
          <w:rFonts w:ascii="Times New Roman" w:hAnsi="Times New Roman"/>
          <w:sz w:val="28"/>
          <w:szCs w:val="28"/>
          <w:lang w:val="uk-UA" w:eastAsia="uk-UA"/>
        </w:rPr>
        <w:t>напівпідземних</w:t>
      </w:r>
      <w:proofErr w:type="spellEnd"/>
      <w:r>
        <w:rPr>
          <w:rFonts w:ascii="Times New Roman" w:hAnsi="Times New Roman"/>
          <w:sz w:val="28"/>
          <w:szCs w:val="28"/>
          <w:lang w:val="uk-UA" w:eastAsia="uk-UA"/>
        </w:rPr>
        <w:t xml:space="preserve"> контейнерів та </w:t>
      </w:r>
      <w:r w:rsidR="00932589">
        <w:rPr>
          <w:rFonts w:ascii="Times New Roman" w:hAnsi="Times New Roman"/>
          <w:sz w:val="28"/>
          <w:szCs w:val="28"/>
          <w:lang w:val="uk-UA" w:eastAsia="uk-UA"/>
        </w:rPr>
        <w:t>п’ять</w:t>
      </w:r>
      <w:r>
        <w:rPr>
          <w:rFonts w:ascii="Times New Roman" w:hAnsi="Times New Roman"/>
          <w:sz w:val="28"/>
          <w:szCs w:val="28"/>
          <w:lang w:val="uk-UA" w:eastAsia="uk-UA"/>
        </w:rPr>
        <w:t> сучасних наземних контейнерів.</w:t>
      </w:r>
    </w:p>
    <w:p w14:paraId="52D36157"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Значну увагу підприємство приділяє також вихованню у мешканців культури поводження з відходами, розуміння необхідності сортування сміття та зменшення негативного впливу на навколишнє середовище.</w:t>
      </w:r>
    </w:p>
    <w:p w14:paraId="124A2C23"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У жовтні 2022 року розпочав роботу Центр управління відходами «Чистий Луцьк». Центр в режимі самообслуговування надає комплекс послуг щодо правильного поводження з відходами, де кожен мешканець громади може безкоштовно здати старі меблі, побутову техніку, пластик, одяг, метал, скло та багато іншого (всього 14 фракцій сміття) для їх подальшої переробки та утилізації.</w:t>
      </w:r>
    </w:p>
    <w:p w14:paraId="428BF2E9"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Центр також займається просвітницькою діяльністю щодо попередження утворення відходів, повторного використання, роздільного збору, сортування, переробки, компостування органіки. Формування у населення громади культури сортування відходів є вагомим чинником для зменшення навантаження на полігон ТПВ. Фахівцями Центру розроблена навчальна  програма по поводженню з відходами для дошкільних та шкільних навчальних закладів громади. Надзвичайно популярними стали екскурсії з метою виховання екологічної обізнаності мешканців громади. Відчутно зростає відвідуваність Центру – з 88 візитів у листопаді 2022 року до 288 візитів у листопаді 2023 року. У серпні </w:t>
      </w:r>
      <w:r>
        <w:rPr>
          <w:rFonts w:ascii="Times New Roman" w:hAnsi="Times New Roman"/>
          <w:color w:val="000000"/>
          <w:sz w:val="28"/>
          <w:szCs w:val="28"/>
          <w:lang w:val="uk-UA"/>
        </w:rPr>
        <w:t>2023 </w:t>
      </w:r>
      <w:r>
        <w:rPr>
          <w:rFonts w:ascii="Times New Roman" w:hAnsi="Times New Roman"/>
          <w:sz w:val="28"/>
          <w:szCs w:val="28"/>
          <w:lang w:val="uk-UA"/>
        </w:rPr>
        <w:t>року зафіксували їх найбільшу кількість – 338.</w:t>
      </w:r>
    </w:p>
    <w:p w14:paraId="0DF2B754"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Планується відкриття ще декількох подібних центрів, а саме: у 33-му мікрорайоні на пр-ті Соборності, 19 проведені роботи по облаштуванню отриманої земельної ділянки (відкриття очікується у березні </w:t>
      </w:r>
      <w:r>
        <w:rPr>
          <w:rFonts w:ascii="Times New Roman" w:hAnsi="Times New Roman"/>
          <w:color w:val="000000"/>
          <w:sz w:val="28"/>
          <w:szCs w:val="28"/>
          <w:lang w:val="uk-UA"/>
        </w:rPr>
        <w:t>2024 </w:t>
      </w:r>
      <w:r>
        <w:rPr>
          <w:rFonts w:ascii="Times New Roman" w:hAnsi="Times New Roman"/>
          <w:sz w:val="28"/>
          <w:szCs w:val="28"/>
          <w:lang w:val="uk-UA"/>
        </w:rPr>
        <w:t>року), біля полігону ТПВ у с. </w:t>
      </w:r>
      <w:proofErr w:type="spellStart"/>
      <w:r>
        <w:rPr>
          <w:rFonts w:ascii="Times New Roman" w:hAnsi="Times New Roman"/>
          <w:sz w:val="28"/>
          <w:szCs w:val="28"/>
          <w:lang w:val="uk-UA"/>
        </w:rPr>
        <w:t>Брище</w:t>
      </w:r>
      <w:proofErr w:type="spellEnd"/>
      <w:r>
        <w:rPr>
          <w:rFonts w:ascii="Times New Roman" w:hAnsi="Times New Roman"/>
          <w:sz w:val="28"/>
          <w:szCs w:val="28"/>
          <w:lang w:val="uk-UA"/>
        </w:rPr>
        <w:t xml:space="preserve"> та центр, який прийматиме великогабаритні та будівельні відходи (для його облаштування підбираються ділянки у промисловій частині міста).</w:t>
      </w:r>
    </w:p>
    <w:p w14:paraId="336FCD76"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Для розуміння перспектив навантаження на полігон ТПВ, належного нарахування плати за послугу з поводження з відходами, у</w:t>
      </w:r>
      <w:r>
        <w:rPr>
          <w:rFonts w:ascii="Times New Roman" w:hAnsi="Times New Roman"/>
          <w:sz w:val="28"/>
          <w:szCs w:val="28"/>
          <w:lang w:val="uk-UA"/>
        </w:rPr>
        <w:t xml:space="preserve"> серпні 2023 року актуалізовані норми надання послуг із вивезення побутових відходів (попередні затверджені рішенням виконавчого комітету міської ради від 04.12.2019 № 761-1). За нормами, розробленими Державним підприємством «Науково-дослідний та </w:t>
      </w:r>
      <w:proofErr w:type="spellStart"/>
      <w:r>
        <w:rPr>
          <w:rFonts w:ascii="Times New Roman" w:hAnsi="Times New Roman"/>
          <w:sz w:val="28"/>
          <w:szCs w:val="28"/>
          <w:lang w:val="uk-UA"/>
        </w:rPr>
        <w:t>конструкторсько</w:t>
      </w:r>
      <w:proofErr w:type="spellEnd"/>
      <w:r>
        <w:rPr>
          <w:rFonts w:ascii="Times New Roman" w:hAnsi="Times New Roman"/>
          <w:sz w:val="28"/>
          <w:szCs w:val="28"/>
          <w:lang w:val="uk-UA"/>
        </w:rPr>
        <w:t>-технологічний інститут міського  господарства», на одного мешканця територіальної громади на рік припадає:</w:t>
      </w:r>
    </w:p>
    <w:p w14:paraId="6329E754" w14:textId="77777777" w:rsidR="0017620F" w:rsidRDefault="00000000">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2,27 м³ (або 382,1 кг) побутових відходів – для багатоквартирних будинків у м. Луцьку;</w:t>
      </w:r>
    </w:p>
    <w:p w14:paraId="599C7BF2" w14:textId="77777777" w:rsidR="0017620F" w:rsidRDefault="00000000">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1,87 м³ (або 289,6 кг) – для багатоквартирних будинків громади крім м. Луцька;</w:t>
      </w:r>
    </w:p>
    <w:p w14:paraId="634BEB79" w14:textId="77777777" w:rsidR="0017620F" w:rsidRDefault="00000000">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2,57 м³ (або 423,7 кг) – для житлових будинків індивідуальної забудови у м. Луцьку;</w:t>
      </w:r>
    </w:p>
    <w:p w14:paraId="729564C2" w14:textId="77777777" w:rsidR="0017620F" w:rsidRDefault="00000000">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2,01 м³ (або 303,1 кг) – для житлових будинків індивідуальної забудови, крім м. Луцька.</w:t>
      </w:r>
    </w:p>
    <w:p w14:paraId="68476494" w14:textId="77777777" w:rsidR="0017620F" w:rsidRDefault="0017620F">
      <w:pPr>
        <w:spacing w:after="0" w:line="240" w:lineRule="auto"/>
        <w:ind w:firstLine="567"/>
        <w:jc w:val="center"/>
        <w:rPr>
          <w:b/>
          <w:bCs/>
          <w:color w:val="000000"/>
          <w:lang w:val="uk-UA" w:eastAsia="ru-RU"/>
        </w:rPr>
      </w:pPr>
    </w:p>
    <w:p w14:paraId="15EA7695" w14:textId="77777777" w:rsidR="0017620F" w:rsidRDefault="00000000">
      <w:pPr>
        <w:spacing w:after="0" w:line="240" w:lineRule="auto"/>
        <w:ind w:firstLine="567"/>
        <w:jc w:val="center"/>
        <w:rPr>
          <w:rFonts w:ascii="Times New Roman" w:hAnsi="Times New Roman"/>
          <w:sz w:val="28"/>
          <w:szCs w:val="28"/>
          <w:lang w:val="uk-UA"/>
        </w:rPr>
      </w:pPr>
      <w:r>
        <w:rPr>
          <w:rFonts w:ascii="Times New Roman" w:hAnsi="Times New Roman"/>
          <w:b/>
          <w:bCs/>
          <w:color w:val="000000"/>
          <w:sz w:val="28"/>
          <w:szCs w:val="28"/>
          <w:lang w:val="uk-UA" w:eastAsia="ru-RU"/>
        </w:rPr>
        <w:t>Фінансово-господарська діяльність підприємства</w:t>
      </w:r>
    </w:p>
    <w:p w14:paraId="5ED3EC6C" w14:textId="77777777" w:rsidR="0017620F" w:rsidRDefault="0017620F">
      <w:pPr>
        <w:spacing w:after="0" w:line="240" w:lineRule="auto"/>
        <w:ind w:firstLine="567"/>
        <w:jc w:val="both"/>
        <w:rPr>
          <w:b/>
          <w:bCs/>
          <w:color w:val="000000"/>
          <w:lang w:val="uk-UA" w:eastAsia="ru-RU"/>
        </w:rPr>
      </w:pPr>
    </w:p>
    <w:p w14:paraId="0321D137" w14:textId="26EFD295"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Загальні доходи</w:t>
      </w:r>
      <w:r>
        <w:rPr>
          <w:rFonts w:ascii="Times New Roman" w:hAnsi="Times New Roman"/>
          <w:sz w:val="28"/>
          <w:szCs w:val="28"/>
          <w:lang w:val="uk-UA"/>
        </w:rPr>
        <w:t xml:space="preserve"> підприємства від усіх видів робіт та послуг у звітному періоді зросли більш як удвічі: з </w:t>
      </w:r>
      <w:r>
        <w:rPr>
          <w:rFonts w:ascii="Times New Roman" w:hAnsi="Times New Roman"/>
          <w:b/>
          <w:bCs/>
          <w:sz w:val="28"/>
          <w:szCs w:val="28"/>
          <w:lang w:val="uk-UA"/>
        </w:rPr>
        <w:t xml:space="preserve">71,4 млн грн </w:t>
      </w:r>
      <w:r>
        <w:rPr>
          <w:rFonts w:ascii="Times New Roman" w:hAnsi="Times New Roman"/>
          <w:sz w:val="28"/>
          <w:szCs w:val="28"/>
          <w:lang w:val="uk-UA"/>
        </w:rPr>
        <w:t xml:space="preserve">у 2021 році до </w:t>
      </w:r>
      <w:r>
        <w:rPr>
          <w:rFonts w:ascii="Times New Roman" w:hAnsi="Times New Roman"/>
          <w:b/>
          <w:bCs/>
          <w:sz w:val="28"/>
          <w:szCs w:val="28"/>
          <w:lang w:val="uk-UA"/>
        </w:rPr>
        <w:t>145,3 млн грн</w:t>
      </w:r>
      <w:r>
        <w:rPr>
          <w:rFonts w:ascii="Times New Roman" w:hAnsi="Times New Roman"/>
          <w:sz w:val="28"/>
          <w:szCs w:val="28"/>
          <w:lang w:val="uk-UA"/>
        </w:rPr>
        <w:t xml:space="preserve"> (прогноз) у 2023 році (</w:t>
      </w:r>
      <w:r>
        <w:rPr>
          <w:rFonts w:ascii="Times New Roman" w:hAnsi="Times New Roman"/>
          <w:color w:val="000000"/>
          <w:sz w:val="28"/>
          <w:szCs w:val="28"/>
          <w:lang w:val="uk-UA"/>
        </w:rPr>
        <w:t>о</w:t>
      </w:r>
      <w:r>
        <w:rPr>
          <w:rFonts w:ascii="Times New Roman" w:hAnsi="Times New Roman"/>
          <w:sz w:val="28"/>
          <w:szCs w:val="28"/>
          <w:lang w:val="uk-UA"/>
        </w:rPr>
        <w:t xml:space="preserve">кремі показники фінансово-господарської діяльності </w:t>
      </w:r>
      <w:r>
        <w:rPr>
          <w:rFonts w:ascii="Times New Roman" w:hAnsi="Times New Roman"/>
          <w:sz w:val="28"/>
          <w:szCs w:val="28"/>
          <w:lang w:val="uk-UA"/>
        </w:rPr>
        <w:lastRenderedPageBreak/>
        <w:t>ЛСКАП  «</w:t>
      </w:r>
      <w:proofErr w:type="spellStart"/>
      <w:r>
        <w:rPr>
          <w:rFonts w:ascii="Times New Roman" w:hAnsi="Times New Roman"/>
          <w:sz w:val="28"/>
          <w:szCs w:val="28"/>
          <w:lang w:val="uk-UA"/>
        </w:rPr>
        <w:t>Луцькспецкомунтранс</w:t>
      </w:r>
      <w:proofErr w:type="spellEnd"/>
      <w:r>
        <w:rPr>
          <w:rFonts w:ascii="Times New Roman" w:hAnsi="Times New Roman"/>
          <w:sz w:val="28"/>
          <w:szCs w:val="28"/>
          <w:lang w:val="uk-UA"/>
        </w:rPr>
        <w:t>» у 2021</w:t>
      </w:r>
      <w:r w:rsidR="00635F8A">
        <w:rPr>
          <w:rFonts w:ascii="Times New Roman" w:hAnsi="Times New Roman"/>
          <w:sz w:val="28"/>
          <w:szCs w:val="28"/>
          <w:lang w:val="uk-UA"/>
        </w:rPr>
        <w:t>–</w:t>
      </w:r>
      <w:r>
        <w:rPr>
          <w:rFonts w:ascii="Times New Roman" w:hAnsi="Times New Roman"/>
          <w:sz w:val="28"/>
          <w:szCs w:val="28"/>
          <w:lang w:val="uk-UA"/>
        </w:rPr>
        <w:t>2023 роках наведені у додатку</w:t>
      </w:r>
      <w:r w:rsidR="00635F8A">
        <w:rPr>
          <w:rFonts w:ascii="Times New Roman" w:hAnsi="Times New Roman"/>
          <w:sz w:val="28"/>
          <w:szCs w:val="28"/>
          <w:lang w:val="uk-UA"/>
        </w:rPr>
        <w:t xml:space="preserve"> до звіту</w:t>
      </w:r>
      <w:r>
        <w:rPr>
          <w:rFonts w:ascii="Times New Roman" w:hAnsi="Times New Roman"/>
          <w:sz w:val="28"/>
          <w:szCs w:val="28"/>
          <w:lang w:val="uk-UA"/>
        </w:rPr>
        <w:t>).</w:t>
      </w:r>
    </w:p>
    <w:p w14:paraId="4363E6A0" w14:textId="2F212122"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Керуючись нормами Закону України «Про внесення змін до Податкового кодексу України та інших законодавчих актів України щодо дії норм на період воєнного стану» з </w:t>
      </w:r>
      <w:r w:rsidR="00484703">
        <w:rPr>
          <w:rFonts w:ascii="Times New Roman" w:hAnsi="Times New Roman"/>
          <w:sz w:val="28"/>
          <w:szCs w:val="28"/>
          <w:lang w:val="uk-UA"/>
        </w:rPr>
        <w:t>0</w:t>
      </w:r>
      <w:r>
        <w:rPr>
          <w:rFonts w:ascii="Times New Roman" w:hAnsi="Times New Roman"/>
          <w:sz w:val="28"/>
          <w:szCs w:val="28"/>
          <w:lang w:val="uk-UA"/>
        </w:rPr>
        <w:t xml:space="preserve">1 квітня 2022 року до </w:t>
      </w:r>
      <w:r w:rsidR="00484703">
        <w:rPr>
          <w:rFonts w:ascii="Times New Roman" w:hAnsi="Times New Roman"/>
          <w:sz w:val="28"/>
          <w:szCs w:val="28"/>
          <w:lang w:val="uk-UA"/>
        </w:rPr>
        <w:t>0</w:t>
      </w:r>
      <w:r>
        <w:rPr>
          <w:rFonts w:ascii="Times New Roman" w:hAnsi="Times New Roman"/>
          <w:sz w:val="28"/>
          <w:szCs w:val="28"/>
          <w:lang w:val="uk-UA"/>
        </w:rPr>
        <w:t>1 серпня 2023 року ЛСКАП «</w:t>
      </w:r>
      <w:proofErr w:type="spellStart"/>
      <w:r>
        <w:rPr>
          <w:rFonts w:ascii="Times New Roman" w:hAnsi="Times New Roman"/>
          <w:sz w:val="28"/>
          <w:szCs w:val="28"/>
          <w:lang w:val="uk-UA"/>
        </w:rPr>
        <w:t>Луцькспецкомунтранс</w:t>
      </w:r>
      <w:proofErr w:type="spellEnd"/>
      <w:r>
        <w:rPr>
          <w:rFonts w:ascii="Times New Roman" w:hAnsi="Times New Roman"/>
          <w:sz w:val="28"/>
          <w:szCs w:val="28"/>
          <w:lang w:val="uk-UA"/>
        </w:rPr>
        <w:t>» перебував на Єдиному податку групи 3 зі ставкою податку в розмірі 2 % від обороту та не є платником ПДВ. Тимчасова зміна системи оподаткування дала змогу оптимізувати діяльність підприємства, скоротити його витрати.</w:t>
      </w:r>
    </w:p>
    <w:p w14:paraId="6A935214"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В той же час слід зазначити, що за період з 2021 року по 2023 рік до  бюджетів усіх рівнів підприємством сплачено понад </w:t>
      </w:r>
      <w:r>
        <w:rPr>
          <w:rFonts w:ascii="Times New Roman" w:hAnsi="Times New Roman"/>
          <w:b/>
          <w:bCs/>
          <w:sz w:val="28"/>
          <w:szCs w:val="28"/>
          <w:lang w:val="uk-UA"/>
        </w:rPr>
        <w:t xml:space="preserve">87,5 млн грн, </w:t>
      </w:r>
      <w:r>
        <w:rPr>
          <w:rFonts w:ascii="Times New Roman" w:hAnsi="Times New Roman"/>
          <w:sz w:val="28"/>
          <w:szCs w:val="28"/>
          <w:lang w:val="uk-UA"/>
        </w:rPr>
        <w:t xml:space="preserve">з них за час дії воєнного стану – </w:t>
      </w:r>
      <w:r>
        <w:rPr>
          <w:rFonts w:ascii="Times New Roman" w:hAnsi="Times New Roman"/>
          <w:b/>
          <w:bCs/>
          <w:sz w:val="28"/>
          <w:szCs w:val="28"/>
          <w:lang w:val="uk-UA"/>
        </w:rPr>
        <w:t>60,2 млн грн.</w:t>
      </w:r>
    </w:p>
    <w:p w14:paraId="30C0C4D3" w14:textId="77777777" w:rsidR="0017620F" w:rsidRDefault="00000000">
      <w:pPr>
        <w:spacing w:after="0" w:line="240" w:lineRule="auto"/>
        <w:ind w:firstLine="567"/>
        <w:jc w:val="both"/>
        <w:rPr>
          <w:lang w:val="uk-UA"/>
        </w:rPr>
      </w:pPr>
      <w:r>
        <w:rPr>
          <w:rFonts w:ascii="Times New Roman" w:hAnsi="Times New Roman"/>
          <w:sz w:val="28"/>
          <w:szCs w:val="28"/>
          <w:lang w:val="uk-UA"/>
        </w:rPr>
        <w:t>З метою забезпечення належного санітарно-епідеміологічного стану   територіальної громади, попередження утворення стихійних сміттєзвалищ, виконання чинного законодавства України про відходи, підприємством запроваджено Публічний договір про надання послуг з поводження з побутовими відходами (</w:t>
      </w:r>
      <w:hyperlink r:id="rId7">
        <w:r>
          <w:rPr>
            <w:rFonts w:ascii="Times New Roman" w:hAnsi="Times New Roman"/>
            <w:i/>
            <w:iCs/>
            <w:sz w:val="28"/>
            <w:szCs w:val="28"/>
            <w:lang w:val="uk-UA"/>
          </w:rPr>
          <w:t>https://www.lutskrada.gov.ua/pages/publichnyi-dohovir</w:t>
        </w:r>
      </w:hyperlink>
      <w:r>
        <w:rPr>
          <w:rFonts w:ascii="Times New Roman" w:hAnsi="Times New Roman"/>
          <w:i/>
          <w:iCs/>
          <w:sz w:val="28"/>
          <w:szCs w:val="28"/>
          <w:lang w:val="uk-UA"/>
        </w:rPr>
        <w:t>).</w:t>
      </w:r>
    </w:p>
    <w:p w14:paraId="6E4B9A48" w14:textId="475ADBA9" w:rsidR="0017620F" w:rsidRDefault="00000000">
      <w:pPr>
        <w:pStyle w:val="aa"/>
        <w:tabs>
          <w:tab w:val="left" w:pos="6615"/>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01.06.2022 нарахування за послугу з поводження з відходами  здійснюються на кожного зареєстрованого мешканця. В результаті кількість  абонентів (особових рахунків) за період з початку 2021 року збільшилась на    9705, </w:t>
      </w:r>
      <w:r>
        <w:rPr>
          <w:rFonts w:ascii="Times New Roman" w:hAnsi="Times New Roman"/>
          <w:bCs/>
          <w:sz w:val="28"/>
          <w:szCs w:val="28"/>
          <w:lang w:val="uk-UA"/>
        </w:rPr>
        <w:t>кількість мешканців, яка приймається до нарахування плати за послугу</w:t>
      </w:r>
      <w:r w:rsidR="00881FED">
        <w:rPr>
          <w:rFonts w:ascii="Times New Roman" w:hAnsi="Times New Roman"/>
          <w:bCs/>
          <w:sz w:val="28"/>
          <w:szCs w:val="28"/>
          <w:lang w:val="uk-UA"/>
        </w:rPr>
        <w:t> </w:t>
      </w:r>
      <w:r>
        <w:rPr>
          <w:rFonts w:ascii="Times New Roman" w:hAnsi="Times New Roman"/>
          <w:bCs/>
          <w:sz w:val="28"/>
          <w:szCs w:val="28"/>
          <w:lang w:val="uk-UA"/>
        </w:rPr>
        <w:t>− на 30 776 осіб.</w:t>
      </w:r>
    </w:p>
    <w:p w14:paraId="656AAEDF"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Загальні витрати</w:t>
      </w:r>
      <w:r>
        <w:rPr>
          <w:rFonts w:ascii="Times New Roman" w:hAnsi="Times New Roman"/>
          <w:sz w:val="28"/>
          <w:szCs w:val="28"/>
          <w:lang w:val="uk-UA"/>
        </w:rPr>
        <w:t xml:space="preserve"> підприємства у звітному періоді також зростали,  беручи до уваги ріст цін на паливо та основні матеріали, збільшений обсяг робіт, які виконувались підприємством, з 83,4 млн грн у 2021 році до </w:t>
      </w:r>
      <w:r>
        <w:rPr>
          <w:rFonts w:ascii="Times New Roman" w:hAnsi="Times New Roman"/>
          <w:b/>
          <w:bCs/>
          <w:sz w:val="28"/>
          <w:szCs w:val="28"/>
          <w:lang w:val="uk-UA"/>
        </w:rPr>
        <w:t>136,0 млн грн</w:t>
      </w:r>
      <w:r>
        <w:rPr>
          <w:rFonts w:ascii="Times New Roman" w:hAnsi="Times New Roman"/>
          <w:sz w:val="28"/>
          <w:szCs w:val="28"/>
          <w:lang w:val="uk-UA"/>
        </w:rPr>
        <w:t xml:space="preserve"> (за прогнозними розрахунками) у 2023 році.</w:t>
      </w:r>
    </w:p>
    <w:p w14:paraId="48C37E72"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hAnsi="Times New Roman"/>
          <w:b/>
          <w:bCs/>
          <w:sz w:val="28"/>
          <w:szCs w:val="28"/>
          <w:lang w:val="uk-UA"/>
        </w:rPr>
        <w:t>Середня заробітна плата</w:t>
      </w:r>
      <w:r>
        <w:rPr>
          <w:rFonts w:ascii="Times New Roman" w:hAnsi="Times New Roman"/>
          <w:sz w:val="28"/>
          <w:szCs w:val="28"/>
          <w:lang w:val="uk-UA"/>
        </w:rPr>
        <w:t xml:space="preserve"> на підприємстві у порівнянні з 2021 роком  зросла на 48,8 % та за результатами 2023 року склала 17 734 грн. Проведено оптимізацію штатної чисельності, скорочено адміністративний персонал (у т. ч. посади заступників директора) у зв'язку з припиненням діяльності сортувальної лінії на вул. </w:t>
      </w:r>
      <w:proofErr w:type="spellStart"/>
      <w:r>
        <w:rPr>
          <w:rFonts w:ascii="Times New Roman" w:hAnsi="Times New Roman"/>
          <w:sz w:val="28"/>
          <w:szCs w:val="28"/>
          <w:lang w:val="uk-UA"/>
        </w:rPr>
        <w:t>Трункіна</w:t>
      </w:r>
      <w:proofErr w:type="spellEnd"/>
      <w:r>
        <w:rPr>
          <w:rFonts w:ascii="Times New Roman" w:hAnsi="Times New Roman"/>
          <w:sz w:val="28"/>
          <w:szCs w:val="28"/>
          <w:lang w:val="uk-UA"/>
        </w:rPr>
        <w:t xml:space="preserve"> (31 од).</w:t>
      </w:r>
    </w:p>
    <w:p w14:paraId="0ED6C8AA" w14:textId="77777777" w:rsidR="0017620F" w:rsidRDefault="00000000">
      <w:pPr>
        <w:tabs>
          <w:tab w:val="left" w:pos="708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період з 2021 року, завдяки своєчасним та адекватним заходам, чіткому контролю як за станом надходжень коштів на рахунки підприємства, рівнем розрахунків із споживачами, так і за раціональним витрачанням коштів, ЛСКАП «</w:t>
      </w:r>
      <w:proofErr w:type="spellStart"/>
      <w:r>
        <w:rPr>
          <w:rFonts w:ascii="Times New Roman" w:hAnsi="Times New Roman"/>
          <w:sz w:val="28"/>
          <w:szCs w:val="28"/>
          <w:lang w:val="uk-UA"/>
        </w:rPr>
        <w:t>Луцькспецкомунтранс</w:t>
      </w:r>
      <w:proofErr w:type="spellEnd"/>
      <w:r>
        <w:rPr>
          <w:rFonts w:ascii="Times New Roman" w:hAnsi="Times New Roman"/>
          <w:sz w:val="28"/>
          <w:szCs w:val="28"/>
          <w:lang w:val="uk-UA"/>
        </w:rPr>
        <w:t>» вийшло на стабільну прибуткову діяльність.</w:t>
      </w:r>
    </w:p>
    <w:p w14:paraId="60DCCECA" w14:textId="77777777" w:rsidR="0017620F" w:rsidRDefault="00000000">
      <w:pPr>
        <w:tabs>
          <w:tab w:val="left" w:pos="708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Якщо за підсумками 2021 року підприємство отримало збитки в сумі 691,6 тис. грн, то уже за підсумками 2022 року </w:t>
      </w:r>
      <w:r>
        <w:rPr>
          <w:rFonts w:ascii="Times New Roman" w:hAnsi="Times New Roman"/>
          <w:b/>
          <w:bCs/>
          <w:sz w:val="28"/>
          <w:szCs w:val="28"/>
          <w:lang w:val="uk-UA"/>
        </w:rPr>
        <w:t xml:space="preserve">прибуток </w:t>
      </w:r>
      <w:r>
        <w:rPr>
          <w:rFonts w:ascii="Times New Roman" w:hAnsi="Times New Roman"/>
          <w:sz w:val="28"/>
          <w:szCs w:val="28"/>
          <w:lang w:val="uk-UA"/>
        </w:rPr>
        <w:t xml:space="preserve">підприємства склав  </w:t>
      </w:r>
      <w:r>
        <w:rPr>
          <w:rFonts w:ascii="Times New Roman" w:hAnsi="Times New Roman"/>
          <w:b/>
          <w:bCs/>
          <w:sz w:val="28"/>
          <w:szCs w:val="28"/>
          <w:lang w:val="uk-UA"/>
        </w:rPr>
        <w:t>18,7 млн грн</w:t>
      </w:r>
      <w:r>
        <w:rPr>
          <w:rFonts w:ascii="Times New Roman" w:hAnsi="Times New Roman"/>
          <w:sz w:val="28"/>
          <w:szCs w:val="28"/>
          <w:lang w:val="uk-UA"/>
        </w:rPr>
        <w:t>. Безпосередній вплив на результат роботи мали: переважний ріст доходів над зростанням витрат через збільшення обсягів виконаних робіт, коригування та перегляд тарифу на послугу з поводження з побутовими відходами, а також фінансова допомога з бюджету міста на придбання палива, яке використане у поточній діяльності. Прогнозний фінансовий результат за 2023 рік складе – 23,0 млн грн.</w:t>
      </w:r>
    </w:p>
    <w:p w14:paraId="11F5FB98" w14:textId="77777777" w:rsidR="0017620F" w:rsidRDefault="00000000">
      <w:pPr>
        <w:tabs>
          <w:tab w:val="left" w:pos="708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Отриманий в якості прибутку грошовий ресурс використаний на придбання транспортних засобів та інших активів для підвищення рівня технічного оснащення підприємства та надання усіх видів послуг.</w:t>
      </w:r>
    </w:p>
    <w:p w14:paraId="24C1B263"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Одним із суттєвих проблемних питань, які потребують вирішення, є зношеність автомобільного парку підприємства, яка за загальним  показниками складає понад 70 %.</w:t>
      </w:r>
    </w:p>
    <w:p w14:paraId="35E55456" w14:textId="7176A9C8"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Вжиті заходи для забезпечення належного функціонування підприємства, а також суттєва фінансова підтримка з міського бюджету дали  можливість значні кошти вкласти в оновлення основних засобів. Так, за 2021</w:t>
      </w:r>
      <w:r w:rsidR="00881FED">
        <w:rPr>
          <w:rFonts w:ascii="Times New Roman" w:hAnsi="Times New Roman"/>
          <w:sz w:val="28"/>
          <w:szCs w:val="28"/>
          <w:lang w:val="uk-UA"/>
        </w:rPr>
        <w:t>–</w:t>
      </w:r>
      <w:r>
        <w:rPr>
          <w:rFonts w:ascii="Times New Roman" w:hAnsi="Times New Roman"/>
          <w:sz w:val="28"/>
          <w:szCs w:val="28"/>
          <w:lang w:val="uk-UA"/>
        </w:rPr>
        <w:t xml:space="preserve">2023 роки </w:t>
      </w:r>
      <w:r>
        <w:rPr>
          <w:rFonts w:ascii="Times New Roman" w:hAnsi="Times New Roman"/>
          <w:b/>
          <w:bCs/>
          <w:sz w:val="28"/>
          <w:szCs w:val="28"/>
          <w:lang w:val="uk-UA"/>
        </w:rPr>
        <w:t>капітальні інвестиції</w:t>
      </w:r>
      <w:r>
        <w:rPr>
          <w:rFonts w:ascii="Times New Roman" w:hAnsi="Times New Roman"/>
          <w:sz w:val="28"/>
          <w:szCs w:val="28"/>
          <w:lang w:val="uk-UA"/>
        </w:rPr>
        <w:t xml:space="preserve"> підприємства склали 57,9 млн грн (у т. ч. 2021 рік – 11,3 млн грн, 2022 рік – 20,4 млн грн, 2023 рік – 26,2 млн грн).</w:t>
      </w:r>
    </w:p>
    <w:p w14:paraId="39E12EF3" w14:textId="1B3B5CFD"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найбільш вартісних та корисних для підприємства слід відмітити </w:t>
      </w:r>
      <w:r w:rsidR="00881FED">
        <w:rPr>
          <w:rFonts w:ascii="Times New Roman" w:hAnsi="Times New Roman"/>
          <w:sz w:val="28"/>
          <w:szCs w:val="28"/>
          <w:lang w:val="uk-UA"/>
        </w:rPr>
        <w:t>такі</w:t>
      </w:r>
      <w:r>
        <w:rPr>
          <w:rFonts w:ascii="Times New Roman" w:hAnsi="Times New Roman"/>
          <w:sz w:val="28"/>
          <w:szCs w:val="28"/>
          <w:lang w:val="uk-UA"/>
        </w:rPr>
        <w:t xml:space="preserve"> придбання: ущільнювач відходів ВС 772ВР; Бульдозер САТ D6N XL; 9 сміттєвозів різних марок та модифікацій.</w:t>
      </w:r>
    </w:p>
    <w:p w14:paraId="0ED2F39A"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Експлуатуються також отримані безоплатно як благодійна допомога два сміттєвози </w:t>
      </w:r>
      <w:proofErr w:type="spellStart"/>
      <w:r>
        <w:rPr>
          <w:rFonts w:ascii="Times New Roman" w:hAnsi="Times New Roman"/>
          <w:sz w:val="28"/>
          <w:szCs w:val="28"/>
          <w:lang w:val="uk-UA"/>
        </w:rPr>
        <w:t>Mercedes</w:t>
      </w:r>
      <w:proofErr w:type="spellEnd"/>
      <w:r>
        <w:rPr>
          <w:rFonts w:ascii="Times New Roman" w:hAnsi="Times New Roman"/>
          <w:sz w:val="28"/>
          <w:szCs w:val="28"/>
          <w:lang w:val="uk-UA"/>
        </w:rPr>
        <w:t>.</w:t>
      </w:r>
    </w:p>
    <w:p w14:paraId="4DD80DD2"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 облаштування майданчиків та встановлення </w:t>
      </w:r>
      <w:proofErr w:type="spellStart"/>
      <w:r>
        <w:rPr>
          <w:rFonts w:ascii="Times New Roman" w:hAnsi="Times New Roman"/>
          <w:sz w:val="28"/>
          <w:szCs w:val="28"/>
          <w:lang w:val="uk-UA"/>
        </w:rPr>
        <w:t>напівпідземних</w:t>
      </w:r>
      <w:proofErr w:type="spellEnd"/>
      <w:r>
        <w:rPr>
          <w:rFonts w:ascii="Times New Roman" w:hAnsi="Times New Roman"/>
          <w:sz w:val="28"/>
          <w:szCs w:val="28"/>
          <w:lang w:val="uk-UA"/>
        </w:rPr>
        <w:t xml:space="preserve"> та наземних контейнерів для збору відходів підприємством використано з власних надходжень 2,6 млн грн.</w:t>
      </w:r>
    </w:p>
    <w:p w14:paraId="749717F0" w14:textId="77777777" w:rsidR="0017620F" w:rsidRDefault="000000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 поточний рік планується придбання потужного подрібнювача відходів.</w:t>
      </w:r>
    </w:p>
    <w:p w14:paraId="637E4C8B" w14:textId="77777777" w:rsidR="0017620F" w:rsidRDefault="00000000">
      <w:pPr>
        <w:spacing w:after="0" w:line="240" w:lineRule="auto"/>
        <w:ind w:firstLine="567"/>
        <w:jc w:val="both"/>
        <w:rPr>
          <w:rFonts w:ascii="Times New Roman" w:hAnsi="Times New Roman"/>
          <w:sz w:val="28"/>
          <w:szCs w:val="28"/>
          <w:lang w:val="uk-UA"/>
        </w:rPr>
      </w:pPr>
      <w:r>
        <w:rPr>
          <w:rFonts w:ascii="Times New Roman" w:eastAsia="SimSun" w:hAnsi="Times New Roman"/>
          <w:sz w:val="28"/>
          <w:szCs w:val="28"/>
          <w:lang w:val="uk-UA" w:eastAsia="zh-CN"/>
        </w:rPr>
        <w:t xml:space="preserve">Поряд з позитивом, перегляд тарифу на послугу з поводження з відходами та запровадження публічного договору мало й певний негативний вплив: суттєво зросла </w:t>
      </w:r>
      <w:r>
        <w:rPr>
          <w:rFonts w:ascii="Times New Roman" w:eastAsia="SimSun" w:hAnsi="Times New Roman"/>
          <w:b/>
          <w:bCs/>
          <w:sz w:val="28"/>
          <w:szCs w:val="28"/>
          <w:lang w:val="uk-UA" w:eastAsia="zh-CN"/>
        </w:rPr>
        <w:t>дебіторська заборгованість</w:t>
      </w:r>
      <w:r>
        <w:rPr>
          <w:rFonts w:ascii="Times New Roman" w:eastAsia="SimSun" w:hAnsi="Times New Roman"/>
          <w:sz w:val="28"/>
          <w:szCs w:val="28"/>
          <w:lang w:val="uk-UA" w:eastAsia="zh-CN"/>
        </w:rPr>
        <w:t xml:space="preserve"> споживачів за послугу з поводження з побутовими відходами. Так, у порівнянні з початком 2021 року  заборгованість мешканців громади зросла у 3,3 рази: з 6,2 млн грн станом на 01.01.2021 до 20,5 млн грн на кінець минулого року. Тут слід зазначити, що протягом 2023 року ріст заборгованості вдавалось стримувати завдяки застосуванню різноманітних методів впливу на споживачів: від письмових та усних попереджень до судових позовів та примусових стягнень. У 2023 році  юристами підприємства подано до суду 205 судових позовів до боржників на суму понад 1,8 млн грн. До виконавчої служби подано судові накази на 750 тис. грн, частина з них (278 тис. грн) вже отримана підприємством. Постійна та систематична робота для недопущення росту проблемних боргів буде проводитись і надалі.</w:t>
      </w:r>
    </w:p>
    <w:p w14:paraId="7F4B6229" w14:textId="77777777" w:rsidR="0017620F" w:rsidRDefault="00000000">
      <w:pPr>
        <w:spacing w:after="0" w:line="240" w:lineRule="auto"/>
        <w:ind w:firstLine="567"/>
        <w:jc w:val="both"/>
        <w:rPr>
          <w:rFonts w:ascii="Times New Roman" w:hAnsi="Times New Roman"/>
          <w:sz w:val="28"/>
          <w:szCs w:val="28"/>
          <w:lang w:val="uk-UA"/>
        </w:rPr>
      </w:pPr>
      <w:r>
        <w:rPr>
          <w:rFonts w:ascii="Times New Roman" w:eastAsia="SimSun" w:hAnsi="Times New Roman"/>
          <w:sz w:val="28"/>
          <w:szCs w:val="28"/>
          <w:lang w:val="uk-UA" w:eastAsia="zh-CN"/>
        </w:rPr>
        <w:t xml:space="preserve">Невиконаних </w:t>
      </w:r>
      <w:r>
        <w:rPr>
          <w:rFonts w:ascii="Times New Roman" w:eastAsia="SimSun" w:hAnsi="Times New Roman"/>
          <w:b/>
          <w:bCs/>
          <w:sz w:val="28"/>
          <w:szCs w:val="28"/>
          <w:lang w:val="uk-UA" w:eastAsia="zh-CN"/>
        </w:rPr>
        <w:t>власних зобов’язань</w:t>
      </w:r>
      <w:r>
        <w:rPr>
          <w:rFonts w:ascii="Times New Roman" w:eastAsia="SimSun" w:hAnsi="Times New Roman"/>
          <w:sz w:val="28"/>
          <w:szCs w:val="28"/>
          <w:lang w:val="uk-UA" w:eastAsia="zh-CN"/>
        </w:rPr>
        <w:t xml:space="preserve"> станом на кінець 2023 року підприємство не має.</w:t>
      </w:r>
    </w:p>
    <w:p w14:paraId="0A01ADCB" w14:textId="77777777" w:rsidR="0017620F" w:rsidRDefault="0017620F">
      <w:pPr>
        <w:spacing w:after="0" w:line="240" w:lineRule="auto"/>
        <w:ind w:firstLine="567"/>
        <w:rPr>
          <w:rFonts w:ascii="Times New Roman" w:hAnsi="Times New Roman"/>
          <w:sz w:val="28"/>
          <w:szCs w:val="28"/>
          <w:lang w:val="uk-UA"/>
        </w:rPr>
      </w:pPr>
    </w:p>
    <w:p w14:paraId="7D74F1A0" w14:textId="77777777" w:rsidR="0017620F" w:rsidRDefault="00000000">
      <w:pPr>
        <w:spacing w:after="0" w:line="240" w:lineRule="auto"/>
        <w:ind w:firstLine="567"/>
        <w:rPr>
          <w:rFonts w:ascii="Times New Roman" w:hAnsi="Times New Roman"/>
          <w:sz w:val="28"/>
          <w:szCs w:val="28"/>
          <w:lang w:val="uk-UA"/>
        </w:rPr>
      </w:pPr>
      <w:r>
        <w:rPr>
          <w:rFonts w:ascii="Times New Roman" w:eastAsia="SimSun" w:hAnsi="Times New Roman"/>
          <w:b/>
          <w:bCs/>
          <w:sz w:val="28"/>
          <w:szCs w:val="28"/>
          <w:lang w:val="uk-UA" w:eastAsia="zh-CN"/>
        </w:rPr>
        <w:t>Основні завдання на наступні роки:</w:t>
      </w:r>
    </w:p>
    <w:p w14:paraId="0A667FC3"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забезпечення стабільної та прибуткової роботи підприємства;</w:t>
      </w:r>
    </w:p>
    <w:p w14:paraId="19402067"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підтримання належного санітарного стану в громаді;</w:t>
      </w:r>
    </w:p>
    <w:p w14:paraId="4C27CA9C"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проведення реконструкції та рекультивації полігону ТПВ у с. </w:t>
      </w:r>
      <w:proofErr w:type="spellStart"/>
      <w:r>
        <w:rPr>
          <w:rFonts w:ascii="Times New Roman" w:eastAsia="SimSun" w:hAnsi="Times New Roman"/>
          <w:sz w:val="28"/>
          <w:szCs w:val="28"/>
          <w:lang w:val="uk-UA" w:eastAsia="zh-CN"/>
        </w:rPr>
        <w:t>Брище</w:t>
      </w:r>
      <w:proofErr w:type="spellEnd"/>
      <w:r>
        <w:rPr>
          <w:rFonts w:ascii="Times New Roman" w:eastAsia="SimSun" w:hAnsi="Times New Roman"/>
          <w:sz w:val="28"/>
          <w:szCs w:val="28"/>
          <w:lang w:val="uk-UA" w:eastAsia="zh-CN"/>
        </w:rPr>
        <w:t>, у тому числі із залученням міжнародних фінансових організацій;</w:t>
      </w:r>
    </w:p>
    <w:p w14:paraId="2D94AF8B"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lastRenderedPageBreak/>
        <w:t>активна участь у вихованні серед мешканців громади культури поводження з відходами;</w:t>
      </w:r>
    </w:p>
    <w:p w14:paraId="3C1F3E6A"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утримання в належному стані полігону ТПВ та максимальне зменшення навантаження на нього;</w:t>
      </w:r>
    </w:p>
    <w:p w14:paraId="15AA36F6"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залучення та збереження на підприємстві кваліфікованого персоналу;</w:t>
      </w:r>
    </w:p>
    <w:p w14:paraId="3E0B35A9"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оновлення транспортних засобів для зменшення витрат на їх утримання;</w:t>
      </w:r>
    </w:p>
    <w:p w14:paraId="4F167A5F" w14:textId="77777777" w:rsidR="0017620F" w:rsidRDefault="00000000">
      <w:pPr>
        <w:pStyle w:val="af5"/>
        <w:spacing w:after="0" w:line="240" w:lineRule="auto"/>
        <w:ind w:left="0" w:firstLine="567"/>
        <w:jc w:val="both"/>
        <w:rPr>
          <w:rFonts w:ascii="Times New Roman" w:hAnsi="Times New Roman"/>
          <w:sz w:val="28"/>
          <w:szCs w:val="28"/>
          <w:lang w:val="uk-UA"/>
        </w:rPr>
      </w:pPr>
      <w:r>
        <w:rPr>
          <w:rFonts w:ascii="Times New Roman" w:eastAsia="SimSun" w:hAnsi="Times New Roman"/>
          <w:sz w:val="28"/>
          <w:szCs w:val="28"/>
          <w:lang w:val="uk-UA" w:eastAsia="zh-CN"/>
        </w:rPr>
        <w:t>раціональне формування та періодичний перегляд маршрутів роботи сміттєзбиральної техніки.</w:t>
      </w:r>
    </w:p>
    <w:p w14:paraId="2C617085" w14:textId="77777777" w:rsidR="0017620F" w:rsidRDefault="0017620F">
      <w:pPr>
        <w:spacing w:after="0" w:line="240" w:lineRule="auto"/>
        <w:ind w:firstLine="567"/>
        <w:jc w:val="both"/>
        <w:rPr>
          <w:rFonts w:ascii="Times New Roman" w:eastAsia="SimSun" w:hAnsi="Times New Roman"/>
          <w:sz w:val="28"/>
          <w:szCs w:val="28"/>
          <w:lang w:val="uk-UA" w:eastAsia="zh-CN"/>
        </w:rPr>
      </w:pPr>
    </w:p>
    <w:p w14:paraId="31266846" w14:textId="77777777" w:rsidR="0017620F" w:rsidRDefault="0017620F">
      <w:pPr>
        <w:spacing w:after="0" w:line="240" w:lineRule="auto"/>
        <w:ind w:firstLine="567"/>
        <w:jc w:val="both"/>
        <w:rPr>
          <w:rFonts w:ascii="Times New Roman" w:eastAsia="SimSun" w:hAnsi="Times New Roman"/>
          <w:sz w:val="28"/>
          <w:szCs w:val="28"/>
          <w:lang w:val="uk-UA" w:eastAsia="zh-CN"/>
        </w:rPr>
      </w:pPr>
    </w:p>
    <w:p w14:paraId="297B039F" w14:textId="77777777" w:rsidR="0017620F" w:rsidRDefault="0017620F">
      <w:pPr>
        <w:spacing w:after="0" w:line="240" w:lineRule="auto"/>
        <w:ind w:firstLine="567"/>
        <w:jc w:val="both"/>
        <w:rPr>
          <w:rFonts w:ascii="Times New Roman" w:eastAsia="SimSun" w:hAnsi="Times New Roman"/>
          <w:sz w:val="28"/>
          <w:szCs w:val="28"/>
          <w:lang w:val="uk-UA" w:eastAsia="zh-CN"/>
        </w:rPr>
      </w:pPr>
    </w:p>
    <w:p w14:paraId="6F46BB75" w14:textId="77777777" w:rsidR="0017620F"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Директор </w:t>
      </w:r>
    </w:p>
    <w:p w14:paraId="07926966" w14:textId="28A80587" w:rsidR="0017620F" w:rsidRDefault="00000000">
      <w:pPr>
        <w:tabs>
          <w:tab w:val="left" w:pos="6405"/>
          <w:tab w:val="left" w:pos="7140"/>
        </w:tabs>
        <w:spacing w:after="0" w:line="240" w:lineRule="auto"/>
        <w:jc w:val="both"/>
        <w:rPr>
          <w:rFonts w:ascii="Times New Roman" w:hAnsi="Times New Roman"/>
          <w:sz w:val="28"/>
          <w:szCs w:val="28"/>
          <w:lang w:val="uk-UA"/>
        </w:rPr>
      </w:pPr>
      <w:r>
        <w:rPr>
          <w:rFonts w:ascii="Times New Roman" w:hAnsi="Times New Roman"/>
          <w:sz w:val="28"/>
          <w:szCs w:val="28"/>
          <w:lang w:val="uk-UA"/>
        </w:rPr>
        <w:t>ЛСКАП </w:t>
      </w:r>
      <w:r>
        <w:rPr>
          <w:rFonts w:ascii="Times New Roman" w:hAnsi="Times New Roman" w:cs="Arial"/>
          <w:sz w:val="28"/>
          <w:szCs w:val="28"/>
          <w:lang w:val="uk-UA"/>
        </w:rPr>
        <w:t>«</w:t>
      </w:r>
      <w:proofErr w:type="spellStart"/>
      <w:r>
        <w:rPr>
          <w:rFonts w:ascii="Times New Roman" w:hAnsi="Times New Roman"/>
          <w:sz w:val="28"/>
          <w:szCs w:val="28"/>
          <w:lang w:val="uk-UA"/>
        </w:rPr>
        <w:t>Луць</w:t>
      </w:r>
      <w:r w:rsidR="00323B80">
        <w:rPr>
          <w:rFonts w:ascii="Times New Roman" w:hAnsi="Times New Roman"/>
          <w:sz w:val="28"/>
          <w:szCs w:val="28"/>
          <w:lang w:val="uk-UA"/>
        </w:rPr>
        <w:t>к</w:t>
      </w:r>
      <w:r>
        <w:rPr>
          <w:rFonts w:ascii="Times New Roman" w:hAnsi="Times New Roman"/>
          <w:sz w:val="28"/>
          <w:szCs w:val="28"/>
          <w:lang w:val="uk-UA"/>
        </w:rPr>
        <w:t>спецкомунтранс</w:t>
      </w:r>
      <w:proofErr w:type="spellEnd"/>
      <w:r>
        <w:rPr>
          <w:rFonts w:ascii="Times New Roman" w:hAnsi="Times New Roman" w:cs="Arial"/>
          <w:sz w:val="28"/>
          <w:szCs w:val="28"/>
          <w:lang w:val="uk-UA"/>
        </w:rPr>
        <w:t>»</w:t>
      </w:r>
      <w:r w:rsidR="00323B80">
        <w:rPr>
          <w:rFonts w:ascii="Times New Roman" w:hAnsi="Times New Roman"/>
          <w:sz w:val="28"/>
          <w:szCs w:val="28"/>
          <w:lang w:val="uk-UA"/>
        </w:rPr>
        <w:t xml:space="preserve">                               </w:t>
      </w:r>
      <w:r>
        <w:rPr>
          <w:rFonts w:ascii="Times New Roman" w:hAnsi="Times New Roman"/>
          <w:sz w:val="28"/>
          <w:szCs w:val="28"/>
          <w:lang w:val="uk-UA"/>
        </w:rPr>
        <w:t xml:space="preserve">Володимир </w:t>
      </w:r>
      <w:bookmarkEnd w:id="0"/>
      <w:r w:rsidR="00323B80">
        <w:rPr>
          <w:rFonts w:ascii="Times New Roman" w:hAnsi="Times New Roman"/>
          <w:sz w:val="28"/>
          <w:szCs w:val="28"/>
          <w:lang w:val="uk-UA"/>
        </w:rPr>
        <w:t>МАРЦЕНЮК</w:t>
      </w:r>
    </w:p>
    <w:p w14:paraId="16E22521" w14:textId="77777777" w:rsidR="0017620F" w:rsidRDefault="0017620F">
      <w:pPr>
        <w:spacing w:after="0" w:line="240" w:lineRule="auto"/>
        <w:jc w:val="both"/>
        <w:rPr>
          <w:rFonts w:ascii="Times New Roman" w:hAnsi="Times New Roman"/>
          <w:sz w:val="28"/>
          <w:szCs w:val="28"/>
          <w:lang w:val="uk-UA"/>
        </w:rPr>
      </w:pPr>
    </w:p>
    <w:p w14:paraId="7CB729DE" w14:textId="77777777" w:rsidR="0017620F" w:rsidRDefault="0017620F">
      <w:pPr>
        <w:spacing w:after="0" w:line="240" w:lineRule="auto"/>
        <w:jc w:val="right"/>
        <w:rPr>
          <w:rFonts w:ascii="Times New Roman" w:hAnsi="Times New Roman"/>
          <w:sz w:val="28"/>
          <w:szCs w:val="28"/>
          <w:lang w:val="uk-UA"/>
        </w:rPr>
      </w:pPr>
    </w:p>
    <w:p w14:paraId="19CE2369" w14:textId="77777777" w:rsidR="0017620F" w:rsidRDefault="0017620F">
      <w:pPr>
        <w:spacing w:after="0" w:line="240" w:lineRule="auto"/>
        <w:ind w:firstLine="567"/>
        <w:jc w:val="right"/>
        <w:rPr>
          <w:rFonts w:ascii="Times New Roman" w:hAnsi="Times New Roman"/>
          <w:sz w:val="28"/>
          <w:szCs w:val="28"/>
          <w:lang w:val="uk-UA"/>
        </w:rPr>
      </w:pPr>
    </w:p>
    <w:p w14:paraId="14312D11" w14:textId="77777777" w:rsidR="0017620F" w:rsidRDefault="0017620F">
      <w:pPr>
        <w:spacing w:after="0" w:line="240" w:lineRule="auto"/>
        <w:ind w:firstLine="567"/>
        <w:jc w:val="right"/>
        <w:rPr>
          <w:rFonts w:ascii="Times New Roman" w:hAnsi="Times New Roman"/>
          <w:sz w:val="28"/>
          <w:szCs w:val="28"/>
          <w:lang w:val="uk-UA"/>
        </w:rPr>
      </w:pPr>
    </w:p>
    <w:p w14:paraId="3D9AA850" w14:textId="77777777" w:rsidR="0017620F" w:rsidRDefault="0017620F">
      <w:pPr>
        <w:spacing w:after="0" w:line="240" w:lineRule="auto"/>
        <w:ind w:firstLine="567"/>
        <w:jc w:val="right"/>
        <w:rPr>
          <w:rFonts w:ascii="Times New Roman" w:hAnsi="Times New Roman"/>
          <w:sz w:val="28"/>
          <w:szCs w:val="28"/>
          <w:lang w:val="uk-UA"/>
        </w:rPr>
      </w:pPr>
    </w:p>
    <w:p w14:paraId="7137D54F" w14:textId="77777777" w:rsidR="0017620F" w:rsidRDefault="0017620F">
      <w:pPr>
        <w:spacing w:after="0" w:line="240" w:lineRule="auto"/>
        <w:ind w:firstLine="567"/>
        <w:jc w:val="right"/>
        <w:rPr>
          <w:rFonts w:ascii="Times New Roman" w:hAnsi="Times New Roman"/>
          <w:sz w:val="28"/>
          <w:szCs w:val="28"/>
          <w:lang w:val="uk-UA"/>
        </w:rPr>
      </w:pPr>
    </w:p>
    <w:p w14:paraId="05FF2626" w14:textId="77777777" w:rsidR="0017620F" w:rsidRDefault="0017620F">
      <w:pPr>
        <w:spacing w:after="0" w:line="240" w:lineRule="auto"/>
        <w:ind w:firstLine="567"/>
        <w:jc w:val="right"/>
        <w:rPr>
          <w:rFonts w:ascii="Times New Roman" w:hAnsi="Times New Roman"/>
          <w:sz w:val="28"/>
          <w:szCs w:val="28"/>
          <w:lang w:val="uk-UA"/>
        </w:rPr>
      </w:pPr>
    </w:p>
    <w:p w14:paraId="28672964" w14:textId="77777777" w:rsidR="0017620F" w:rsidRDefault="0017620F">
      <w:pPr>
        <w:spacing w:after="0" w:line="240" w:lineRule="auto"/>
        <w:ind w:firstLine="567"/>
        <w:jc w:val="right"/>
        <w:rPr>
          <w:rFonts w:ascii="Times New Roman" w:hAnsi="Times New Roman"/>
          <w:sz w:val="28"/>
          <w:szCs w:val="28"/>
          <w:lang w:val="uk-UA"/>
        </w:rPr>
      </w:pPr>
    </w:p>
    <w:p w14:paraId="18ABB3E7" w14:textId="77777777" w:rsidR="0017620F" w:rsidRDefault="0017620F">
      <w:pPr>
        <w:spacing w:after="0" w:line="240" w:lineRule="auto"/>
        <w:ind w:firstLine="567"/>
        <w:jc w:val="right"/>
        <w:rPr>
          <w:rFonts w:ascii="Times New Roman" w:hAnsi="Times New Roman"/>
          <w:sz w:val="28"/>
          <w:szCs w:val="28"/>
          <w:lang w:val="uk-UA"/>
        </w:rPr>
      </w:pPr>
    </w:p>
    <w:p w14:paraId="0E215ED7" w14:textId="77777777" w:rsidR="0017620F" w:rsidRDefault="0017620F">
      <w:pPr>
        <w:spacing w:after="0" w:line="240" w:lineRule="auto"/>
        <w:ind w:firstLine="567"/>
        <w:jc w:val="right"/>
        <w:rPr>
          <w:rFonts w:ascii="Times New Roman" w:hAnsi="Times New Roman"/>
          <w:sz w:val="28"/>
          <w:szCs w:val="28"/>
          <w:lang w:val="uk-UA"/>
        </w:rPr>
      </w:pPr>
    </w:p>
    <w:p w14:paraId="3140213E" w14:textId="77777777" w:rsidR="0017620F" w:rsidRDefault="0017620F">
      <w:pPr>
        <w:spacing w:after="0" w:line="240" w:lineRule="auto"/>
        <w:ind w:firstLine="567"/>
        <w:jc w:val="right"/>
        <w:rPr>
          <w:rFonts w:ascii="Times New Roman" w:hAnsi="Times New Roman"/>
          <w:sz w:val="28"/>
          <w:szCs w:val="28"/>
          <w:lang w:val="uk-UA"/>
        </w:rPr>
      </w:pPr>
    </w:p>
    <w:p w14:paraId="044817C7" w14:textId="77777777" w:rsidR="0017620F" w:rsidRDefault="0017620F">
      <w:pPr>
        <w:spacing w:after="0" w:line="240" w:lineRule="auto"/>
        <w:ind w:firstLine="567"/>
        <w:jc w:val="right"/>
        <w:rPr>
          <w:rFonts w:ascii="Times New Roman" w:hAnsi="Times New Roman"/>
          <w:sz w:val="28"/>
          <w:szCs w:val="28"/>
          <w:lang w:val="uk-UA"/>
        </w:rPr>
      </w:pPr>
    </w:p>
    <w:p w14:paraId="5CC4CF02" w14:textId="77777777" w:rsidR="0017620F" w:rsidRDefault="0017620F">
      <w:pPr>
        <w:spacing w:after="0" w:line="240" w:lineRule="auto"/>
        <w:ind w:firstLine="567"/>
        <w:jc w:val="right"/>
        <w:rPr>
          <w:rFonts w:ascii="Times New Roman" w:hAnsi="Times New Roman"/>
          <w:sz w:val="28"/>
          <w:szCs w:val="28"/>
          <w:lang w:val="uk-UA"/>
        </w:rPr>
      </w:pPr>
    </w:p>
    <w:p w14:paraId="054675E4" w14:textId="77777777" w:rsidR="0017620F" w:rsidRDefault="0017620F">
      <w:pPr>
        <w:spacing w:after="0" w:line="240" w:lineRule="auto"/>
        <w:ind w:firstLine="567"/>
        <w:jc w:val="right"/>
        <w:rPr>
          <w:rFonts w:ascii="Times New Roman" w:hAnsi="Times New Roman"/>
          <w:sz w:val="28"/>
          <w:szCs w:val="28"/>
          <w:lang w:val="uk-UA"/>
        </w:rPr>
      </w:pPr>
    </w:p>
    <w:p w14:paraId="7B257076" w14:textId="77777777" w:rsidR="0017620F" w:rsidRDefault="0017620F">
      <w:pPr>
        <w:spacing w:after="0" w:line="240" w:lineRule="auto"/>
        <w:ind w:firstLine="567"/>
        <w:jc w:val="right"/>
        <w:rPr>
          <w:rFonts w:ascii="Times New Roman" w:hAnsi="Times New Roman"/>
          <w:sz w:val="28"/>
          <w:szCs w:val="28"/>
          <w:lang w:val="uk-UA"/>
        </w:rPr>
      </w:pPr>
    </w:p>
    <w:p w14:paraId="66584764" w14:textId="77777777" w:rsidR="0017620F" w:rsidRDefault="0017620F">
      <w:pPr>
        <w:spacing w:after="0" w:line="240" w:lineRule="auto"/>
        <w:ind w:firstLine="567"/>
        <w:jc w:val="right"/>
        <w:rPr>
          <w:rFonts w:ascii="Times New Roman" w:hAnsi="Times New Roman"/>
          <w:sz w:val="28"/>
          <w:szCs w:val="28"/>
          <w:lang w:val="uk-UA"/>
        </w:rPr>
      </w:pPr>
    </w:p>
    <w:p w14:paraId="63B7B027" w14:textId="77777777" w:rsidR="0017620F" w:rsidRDefault="0017620F">
      <w:pPr>
        <w:spacing w:after="0" w:line="240" w:lineRule="auto"/>
        <w:ind w:firstLine="567"/>
        <w:jc w:val="right"/>
        <w:rPr>
          <w:rFonts w:ascii="Times New Roman" w:hAnsi="Times New Roman"/>
          <w:sz w:val="28"/>
          <w:szCs w:val="28"/>
          <w:lang w:val="uk-UA"/>
        </w:rPr>
      </w:pPr>
    </w:p>
    <w:p w14:paraId="18EDA66E" w14:textId="77777777" w:rsidR="0017620F" w:rsidRDefault="0017620F">
      <w:pPr>
        <w:spacing w:after="0" w:line="240" w:lineRule="auto"/>
        <w:ind w:firstLine="567"/>
        <w:jc w:val="right"/>
        <w:rPr>
          <w:rFonts w:ascii="Times New Roman" w:hAnsi="Times New Roman"/>
          <w:sz w:val="28"/>
          <w:szCs w:val="28"/>
          <w:lang w:val="uk-UA"/>
        </w:rPr>
      </w:pPr>
    </w:p>
    <w:p w14:paraId="701690C4" w14:textId="77777777" w:rsidR="0017620F" w:rsidRDefault="0017620F">
      <w:pPr>
        <w:spacing w:after="0" w:line="240" w:lineRule="auto"/>
        <w:ind w:firstLine="567"/>
        <w:jc w:val="right"/>
        <w:rPr>
          <w:rFonts w:ascii="Times New Roman" w:hAnsi="Times New Roman"/>
          <w:sz w:val="28"/>
          <w:szCs w:val="28"/>
          <w:lang w:val="uk-UA"/>
        </w:rPr>
      </w:pPr>
    </w:p>
    <w:p w14:paraId="2CBCA1FF" w14:textId="77777777" w:rsidR="0017620F" w:rsidRDefault="0017620F">
      <w:pPr>
        <w:spacing w:after="0" w:line="240" w:lineRule="auto"/>
        <w:ind w:firstLine="567"/>
        <w:jc w:val="right"/>
        <w:rPr>
          <w:rFonts w:ascii="Times New Roman" w:hAnsi="Times New Roman"/>
          <w:sz w:val="28"/>
          <w:szCs w:val="28"/>
          <w:lang w:val="uk-UA"/>
        </w:rPr>
      </w:pPr>
    </w:p>
    <w:p w14:paraId="5B9F719A" w14:textId="77777777" w:rsidR="0017620F" w:rsidRDefault="0017620F">
      <w:pPr>
        <w:spacing w:after="0" w:line="240" w:lineRule="auto"/>
        <w:ind w:firstLine="567"/>
        <w:jc w:val="right"/>
        <w:rPr>
          <w:rFonts w:ascii="Times New Roman" w:hAnsi="Times New Roman"/>
          <w:sz w:val="28"/>
          <w:szCs w:val="28"/>
          <w:lang w:val="uk-UA"/>
        </w:rPr>
      </w:pPr>
    </w:p>
    <w:p w14:paraId="0ED6031B" w14:textId="77777777" w:rsidR="0017620F" w:rsidRDefault="0017620F">
      <w:pPr>
        <w:spacing w:after="0" w:line="240" w:lineRule="auto"/>
        <w:ind w:firstLine="567"/>
        <w:jc w:val="right"/>
        <w:rPr>
          <w:rFonts w:ascii="Times New Roman" w:hAnsi="Times New Roman"/>
          <w:sz w:val="28"/>
          <w:szCs w:val="28"/>
          <w:lang w:val="uk-UA"/>
        </w:rPr>
      </w:pPr>
    </w:p>
    <w:p w14:paraId="4341D456" w14:textId="77777777" w:rsidR="0017620F" w:rsidRDefault="0017620F">
      <w:pPr>
        <w:spacing w:after="0" w:line="240" w:lineRule="auto"/>
        <w:jc w:val="right"/>
        <w:rPr>
          <w:color w:val="000000"/>
          <w:sz w:val="28"/>
          <w:szCs w:val="28"/>
          <w:lang w:eastAsia="zh-CN"/>
        </w:rPr>
      </w:pPr>
    </w:p>
    <w:p w14:paraId="4F7BC38E" w14:textId="77777777" w:rsidR="0017620F" w:rsidRDefault="0017620F">
      <w:pPr>
        <w:spacing w:after="0" w:line="240" w:lineRule="auto"/>
        <w:jc w:val="right"/>
        <w:rPr>
          <w:color w:val="000000"/>
          <w:sz w:val="28"/>
          <w:szCs w:val="28"/>
          <w:lang w:eastAsia="zh-CN"/>
        </w:rPr>
      </w:pPr>
    </w:p>
    <w:p w14:paraId="5A09F008" w14:textId="77777777" w:rsidR="0017620F" w:rsidRDefault="0017620F">
      <w:pPr>
        <w:spacing w:after="0" w:line="240" w:lineRule="auto"/>
        <w:jc w:val="right"/>
        <w:rPr>
          <w:color w:val="000000"/>
          <w:sz w:val="28"/>
          <w:szCs w:val="28"/>
          <w:lang w:eastAsia="zh-CN"/>
        </w:rPr>
      </w:pPr>
    </w:p>
    <w:p w14:paraId="4A4A4DC1" w14:textId="77777777" w:rsidR="0017620F" w:rsidRDefault="0017620F">
      <w:pPr>
        <w:spacing w:after="0" w:line="240" w:lineRule="auto"/>
        <w:jc w:val="right"/>
        <w:rPr>
          <w:color w:val="000000"/>
          <w:sz w:val="28"/>
          <w:szCs w:val="28"/>
          <w:lang w:eastAsia="zh-CN"/>
        </w:rPr>
      </w:pPr>
    </w:p>
    <w:p w14:paraId="1F95BFB4" w14:textId="77777777" w:rsidR="0017620F" w:rsidRDefault="0017620F">
      <w:pPr>
        <w:spacing w:after="0" w:line="240" w:lineRule="auto"/>
        <w:jc w:val="right"/>
        <w:rPr>
          <w:color w:val="000000"/>
          <w:sz w:val="28"/>
          <w:szCs w:val="28"/>
          <w:lang w:eastAsia="zh-CN"/>
        </w:rPr>
      </w:pPr>
    </w:p>
    <w:p w14:paraId="4EE82705" w14:textId="77777777" w:rsidR="0017620F" w:rsidRDefault="0017620F">
      <w:pPr>
        <w:spacing w:after="0" w:line="240" w:lineRule="auto"/>
        <w:jc w:val="right"/>
        <w:rPr>
          <w:color w:val="000000"/>
          <w:sz w:val="28"/>
          <w:szCs w:val="28"/>
          <w:lang w:eastAsia="zh-CN"/>
        </w:rPr>
      </w:pPr>
    </w:p>
    <w:p w14:paraId="3B2DC15C" w14:textId="77777777" w:rsidR="0017620F" w:rsidRDefault="0017620F">
      <w:pPr>
        <w:spacing w:after="0" w:line="240" w:lineRule="auto"/>
        <w:jc w:val="right"/>
        <w:rPr>
          <w:color w:val="000000"/>
          <w:sz w:val="28"/>
          <w:szCs w:val="28"/>
          <w:lang w:eastAsia="zh-CN"/>
        </w:rPr>
      </w:pPr>
    </w:p>
    <w:p w14:paraId="655FB864" w14:textId="77777777" w:rsidR="0017620F" w:rsidRDefault="0017620F">
      <w:pPr>
        <w:spacing w:after="0" w:line="240" w:lineRule="auto"/>
        <w:jc w:val="right"/>
        <w:rPr>
          <w:color w:val="000000"/>
          <w:sz w:val="28"/>
          <w:szCs w:val="28"/>
          <w:lang w:eastAsia="zh-CN"/>
        </w:rPr>
      </w:pPr>
    </w:p>
    <w:p w14:paraId="2431C998" w14:textId="77777777" w:rsidR="0017620F" w:rsidRDefault="0017620F">
      <w:pPr>
        <w:spacing w:after="0" w:line="240" w:lineRule="auto"/>
        <w:jc w:val="right"/>
        <w:rPr>
          <w:color w:val="000000"/>
          <w:sz w:val="28"/>
          <w:szCs w:val="28"/>
          <w:lang w:eastAsia="zh-CN"/>
        </w:rPr>
      </w:pPr>
    </w:p>
    <w:p w14:paraId="250F89F6" w14:textId="77777777" w:rsidR="0017620F" w:rsidRDefault="00000000">
      <w:pPr>
        <w:spacing w:after="0" w:line="240" w:lineRule="auto"/>
        <w:jc w:val="right"/>
        <w:rPr>
          <w:rFonts w:ascii="Times New Roman" w:hAnsi="Times New Roman"/>
          <w:lang w:val="uk-UA"/>
        </w:rPr>
      </w:pPr>
      <w:r>
        <w:rPr>
          <w:rFonts w:ascii="Times New Roman" w:hAnsi="Times New Roman"/>
          <w:color w:val="000000"/>
          <w:sz w:val="28"/>
          <w:szCs w:val="28"/>
          <w:lang w:val="uk-UA" w:eastAsia="zh-CN"/>
        </w:rPr>
        <w:lastRenderedPageBreak/>
        <w:t>Додаток</w:t>
      </w:r>
    </w:p>
    <w:p w14:paraId="602C6F9E" w14:textId="77777777" w:rsidR="0017620F" w:rsidRDefault="0017620F">
      <w:pPr>
        <w:spacing w:after="0" w:line="240" w:lineRule="auto"/>
        <w:jc w:val="center"/>
        <w:rPr>
          <w:rFonts w:ascii="Times New Roman" w:hAnsi="Times New Roman"/>
          <w:b/>
          <w:color w:val="000000"/>
          <w:lang w:val="uk-UA"/>
        </w:rPr>
      </w:pPr>
    </w:p>
    <w:p w14:paraId="23C2E4A8" w14:textId="77777777" w:rsidR="0017620F" w:rsidRDefault="00000000">
      <w:pPr>
        <w:spacing w:after="0" w:line="240" w:lineRule="auto"/>
        <w:jc w:val="center"/>
        <w:rPr>
          <w:rFonts w:ascii="Times New Roman" w:hAnsi="Times New Roman"/>
          <w:lang w:val="uk-UA"/>
        </w:rPr>
      </w:pPr>
      <w:r>
        <w:rPr>
          <w:rFonts w:ascii="Times New Roman" w:hAnsi="Times New Roman"/>
          <w:b/>
          <w:color w:val="000000"/>
          <w:sz w:val="28"/>
          <w:szCs w:val="28"/>
          <w:lang w:val="uk-UA" w:eastAsia="zh-CN"/>
        </w:rPr>
        <w:t>Окремі показники фінансово-господарської діяльності</w:t>
      </w:r>
    </w:p>
    <w:p w14:paraId="06CAB5DC" w14:textId="77777777" w:rsidR="0017620F" w:rsidRDefault="00000000">
      <w:pPr>
        <w:spacing w:after="0" w:line="240" w:lineRule="auto"/>
        <w:jc w:val="center"/>
        <w:rPr>
          <w:rFonts w:ascii="Times New Roman" w:hAnsi="Times New Roman"/>
          <w:lang w:val="uk-UA"/>
        </w:rPr>
      </w:pPr>
      <w:r>
        <w:rPr>
          <w:rFonts w:ascii="Times New Roman" w:hAnsi="Times New Roman"/>
          <w:b/>
          <w:color w:val="000000"/>
          <w:sz w:val="28"/>
          <w:szCs w:val="28"/>
          <w:lang w:val="uk-UA" w:eastAsia="zh-CN"/>
        </w:rPr>
        <w:t>ЛСКАП «</w:t>
      </w:r>
      <w:proofErr w:type="spellStart"/>
      <w:r>
        <w:rPr>
          <w:rFonts w:ascii="Times New Roman" w:hAnsi="Times New Roman"/>
          <w:b/>
          <w:color w:val="000000"/>
          <w:sz w:val="28"/>
          <w:szCs w:val="28"/>
          <w:lang w:val="uk-UA" w:eastAsia="zh-CN"/>
        </w:rPr>
        <w:t>Луцькспецкомунтранс</w:t>
      </w:r>
      <w:proofErr w:type="spellEnd"/>
      <w:r>
        <w:rPr>
          <w:rFonts w:ascii="Times New Roman" w:hAnsi="Times New Roman"/>
          <w:b/>
          <w:color w:val="000000"/>
          <w:sz w:val="28"/>
          <w:szCs w:val="28"/>
          <w:lang w:val="uk-UA" w:eastAsia="zh-CN"/>
        </w:rPr>
        <w:t>»</w:t>
      </w:r>
    </w:p>
    <w:p w14:paraId="29AF6E92" w14:textId="7D33A764" w:rsidR="0017620F" w:rsidRDefault="00000000">
      <w:pPr>
        <w:spacing w:after="0" w:line="240" w:lineRule="auto"/>
        <w:jc w:val="center"/>
        <w:rPr>
          <w:rFonts w:ascii="Times New Roman" w:hAnsi="Times New Roman"/>
          <w:lang w:val="uk-UA"/>
        </w:rPr>
      </w:pPr>
      <w:r>
        <w:rPr>
          <w:rFonts w:ascii="Times New Roman" w:hAnsi="Times New Roman"/>
          <w:b/>
          <w:color w:val="000000"/>
          <w:sz w:val="28"/>
          <w:szCs w:val="28"/>
          <w:lang w:val="uk-UA" w:eastAsia="zh-CN"/>
        </w:rPr>
        <w:t>у 2021</w:t>
      </w:r>
      <w:r w:rsidR="0064129F">
        <w:rPr>
          <w:rFonts w:ascii="Times New Roman" w:hAnsi="Times New Roman"/>
          <w:b/>
          <w:color w:val="000000"/>
          <w:sz w:val="28"/>
          <w:szCs w:val="28"/>
          <w:lang w:val="uk-UA" w:eastAsia="zh-CN"/>
        </w:rPr>
        <w:t>–</w:t>
      </w:r>
      <w:r>
        <w:rPr>
          <w:rFonts w:ascii="Times New Roman" w:hAnsi="Times New Roman"/>
          <w:b/>
          <w:color w:val="000000"/>
          <w:sz w:val="28"/>
          <w:szCs w:val="28"/>
          <w:lang w:val="uk-UA" w:eastAsia="zh-CN"/>
        </w:rPr>
        <w:t xml:space="preserve">2023 роках  </w:t>
      </w:r>
    </w:p>
    <w:p w14:paraId="4A31B2FA" w14:textId="77777777" w:rsidR="0017620F" w:rsidRDefault="0017620F">
      <w:pPr>
        <w:spacing w:after="0" w:line="240" w:lineRule="auto"/>
        <w:jc w:val="both"/>
        <w:rPr>
          <w:rFonts w:ascii="Times New Roman" w:hAnsi="Times New Roman"/>
          <w:sz w:val="28"/>
          <w:szCs w:val="28"/>
          <w:lang w:val="uk-UA" w:eastAsia="zh-CN"/>
        </w:rPr>
      </w:pPr>
    </w:p>
    <w:tbl>
      <w:tblPr>
        <w:tblW w:w="9360" w:type="dxa"/>
        <w:tblInd w:w="28" w:type="dxa"/>
        <w:tblLayout w:type="fixed"/>
        <w:tblCellMar>
          <w:top w:w="28" w:type="dxa"/>
          <w:left w:w="28" w:type="dxa"/>
          <w:bottom w:w="28" w:type="dxa"/>
          <w:right w:w="28" w:type="dxa"/>
        </w:tblCellMar>
        <w:tblLook w:val="00A0" w:firstRow="1" w:lastRow="0" w:firstColumn="1" w:lastColumn="0" w:noHBand="0" w:noVBand="0"/>
      </w:tblPr>
      <w:tblGrid>
        <w:gridCol w:w="4590"/>
        <w:gridCol w:w="1200"/>
        <w:gridCol w:w="1185"/>
        <w:gridCol w:w="1080"/>
        <w:gridCol w:w="1305"/>
      </w:tblGrid>
      <w:tr w:rsidR="0017620F" w14:paraId="74DA72BE" w14:textId="77777777">
        <w:trPr>
          <w:trHeight w:val="609"/>
        </w:trPr>
        <w:tc>
          <w:tcPr>
            <w:tcW w:w="4590" w:type="dxa"/>
            <w:tcBorders>
              <w:top w:val="single" w:sz="2" w:space="0" w:color="000000"/>
              <w:left w:val="single" w:sz="2" w:space="0" w:color="000000"/>
              <w:bottom w:val="single" w:sz="2" w:space="0" w:color="000000"/>
            </w:tcBorders>
            <w:vAlign w:val="center"/>
          </w:tcPr>
          <w:p w14:paraId="6FABF5C9"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Показник</w:t>
            </w:r>
          </w:p>
        </w:tc>
        <w:tc>
          <w:tcPr>
            <w:tcW w:w="1200" w:type="dxa"/>
            <w:tcBorders>
              <w:top w:val="single" w:sz="2" w:space="0" w:color="000000"/>
              <w:left w:val="single" w:sz="2" w:space="0" w:color="000000"/>
              <w:bottom w:val="single" w:sz="2" w:space="0" w:color="000000"/>
            </w:tcBorders>
            <w:vAlign w:val="center"/>
          </w:tcPr>
          <w:p w14:paraId="33011F79"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Одиниці виміру</w:t>
            </w:r>
          </w:p>
        </w:tc>
        <w:tc>
          <w:tcPr>
            <w:tcW w:w="1185" w:type="dxa"/>
            <w:tcBorders>
              <w:top w:val="single" w:sz="2" w:space="0" w:color="000000"/>
              <w:left w:val="single" w:sz="2" w:space="0" w:color="000000"/>
              <w:bottom w:val="single" w:sz="2" w:space="0" w:color="000000"/>
            </w:tcBorders>
            <w:vAlign w:val="center"/>
          </w:tcPr>
          <w:p w14:paraId="4D213DBF"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2021</w:t>
            </w:r>
          </w:p>
        </w:tc>
        <w:tc>
          <w:tcPr>
            <w:tcW w:w="1080" w:type="dxa"/>
            <w:tcBorders>
              <w:top w:val="single" w:sz="2" w:space="0" w:color="000000"/>
              <w:left w:val="single" w:sz="2" w:space="0" w:color="000000"/>
              <w:bottom w:val="single" w:sz="2" w:space="0" w:color="000000"/>
            </w:tcBorders>
            <w:vAlign w:val="center"/>
          </w:tcPr>
          <w:p w14:paraId="0F4AAB98"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2022</w:t>
            </w:r>
          </w:p>
        </w:tc>
        <w:tc>
          <w:tcPr>
            <w:tcW w:w="1305" w:type="dxa"/>
            <w:tcBorders>
              <w:top w:val="single" w:sz="2" w:space="0" w:color="000000"/>
              <w:left w:val="single" w:sz="2" w:space="0" w:color="000000"/>
              <w:bottom w:val="single" w:sz="2" w:space="0" w:color="000000"/>
              <w:right w:val="single" w:sz="2" w:space="0" w:color="000000"/>
            </w:tcBorders>
            <w:vAlign w:val="center"/>
          </w:tcPr>
          <w:p w14:paraId="3EA5AC94"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2023 (прогноз)</w:t>
            </w:r>
          </w:p>
        </w:tc>
      </w:tr>
      <w:tr w:rsidR="0017620F" w14:paraId="34513F40" w14:textId="77777777">
        <w:trPr>
          <w:trHeight w:val="609"/>
        </w:trPr>
        <w:tc>
          <w:tcPr>
            <w:tcW w:w="9360" w:type="dxa"/>
            <w:gridSpan w:val="5"/>
            <w:tcBorders>
              <w:left w:val="single" w:sz="2" w:space="0" w:color="000000"/>
              <w:bottom w:val="single" w:sz="2" w:space="0" w:color="000000"/>
              <w:right w:val="single" w:sz="2" w:space="0" w:color="000000"/>
            </w:tcBorders>
            <w:vAlign w:val="center"/>
          </w:tcPr>
          <w:p w14:paraId="7B70E013"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b/>
                <w:color w:val="000000"/>
                <w:sz w:val="28"/>
                <w:szCs w:val="28"/>
                <w:lang w:val="uk-UA" w:eastAsia="zh-CN"/>
              </w:rPr>
              <w:t>Доходи</w:t>
            </w:r>
          </w:p>
        </w:tc>
      </w:tr>
      <w:tr w:rsidR="0017620F" w14:paraId="2A3A5B75" w14:textId="77777777">
        <w:trPr>
          <w:trHeight w:val="609"/>
        </w:trPr>
        <w:tc>
          <w:tcPr>
            <w:tcW w:w="4590" w:type="dxa"/>
            <w:tcBorders>
              <w:left w:val="single" w:sz="2" w:space="0" w:color="000000"/>
              <w:bottom w:val="single" w:sz="2" w:space="0" w:color="000000"/>
            </w:tcBorders>
            <w:vAlign w:val="center"/>
          </w:tcPr>
          <w:p w14:paraId="2BF447F4" w14:textId="77777777" w:rsidR="0017620F" w:rsidRDefault="00000000">
            <w:pPr>
              <w:widowControl w:val="0"/>
              <w:spacing w:after="0" w:line="240" w:lineRule="auto"/>
              <w:rPr>
                <w:rFonts w:ascii="Times New Roman" w:hAnsi="Times New Roman"/>
                <w:sz w:val="28"/>
                <w:szCs w:val="28"/>
                <w:lang w:val="uk-UA" w:eastAsia="zh-CN"/>
              </w:rPr>
            </w:pPr>
            <w:r>
              <w:rPr>
                <w:rFonts w:ascii="Times New Roman" w:hAnsi="Times New Roman"/>
                <w:color w:val="000000"/>
                <w:sz w:val="28"/>
                <w:szCs w:val="28"/>
                <w:lang w:val="uk-UA" w:eastAsia="zh-CN"/>
              </w:rPr>
              <w:t>Чистий дохід від реалізації продукції</w:t>
            </w:r>
          </w:p>
        </w:tc>
        <w:tc>
          <w:tcPr>
            <w:tcW w:w="1200" w:type="dxa"/>
            <w:tcBorders>
              <w:left w:val="single" w:sz="2" w:space="0" w:color="000000"/>
              <w:bottom w:val="single" w:sz="2" w:space="0" w:color="000000"/>
            </w:tcBorders>
            <w:vAlign w:val="center"/>
          </w:tcPr>
          <w:p w14:paraId="55791CFA"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22598BA6"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b/>
                <w:sz w:val="24"/>
                <w:lang w:val="uk-UA" w:eastAsia="zh-CN"/>
              </w:rPr>
              <w:t>71 416,0</w:t>
            </w:r>
          </w:p>
        </w:tc>
        <w:tc>
          <w:tcPr>
            <w:tcW w:w="1080" w:type="dxa"/>
            <w:tcBorders>
              <w:left w:val="single" w:sz="2" w:space="0" w:color="000000"/>
              <w:bottom w:val="single" w:sz="2" w:space="0" w:color="000000"/>
            </w:tcBorders>
            <w:vAlign w:val="center"/>
          </w:tcPr>
          <w:p w14:paraId="604F1733"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b/>
                <w:sz w:val="24"/>
                <w:lang w:val="uk-UA" w:eastAsia="zh-CN"/>
              </w:rPr>
              <w:t>120 763</w:t>
            </w:r>
          </w:p>
        </w:tc>
        <w:tc>
          <w:tcPr>
            <w:tcW w:w="1305" w:type="dxa"/>
            <w:tcBorders>
              <w:left w:val="single" w:sz="2" w:space="0" w:color="000000"/>
              <w:bottom w:val="single" w:sz="2" w:space="0" w:color="000000"/>
              <w:right w:val="single" w:sz="2" w:space="0" w:color="000000"/>
            </w:tcBorders>
            <w:vAlign w:val="center"/>
          </w:tcPr>
          <w:p w14:paraId="5539ECB2"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b/>
                <w:color w:val="000000"/>
                <w:sz w:val="24"/>
                <w:lang w:val="uk-UA" w:eastAsia="zh-CN"/>
              </w:rPr>
              <w:t>145 328</w:t>
            </w:r>
          </w:p>
        </w:tc>
      </w:tr>
      <w:tr w:rsidR="0017620F" w14:paraId="148F4A48" w14:textId="77777777">
        <w:trPr>
          <w:trHeight w:val="609"/>
        </w:trPr>
        <w:tc>
          <w:tcPr>
            <w:tcW w:w="4590" w:type="dxa"/>
            <w:tcBorders>
              <w:left w:val="single" w:sz="2" w:space="0" w:color="000000"/>
              <w:bottom w:val="single" w:sz="2" w:space="0" w:color="000000"/>
            </w:tcBorders>
            <w:vAlign w:val="center"/>
          </w:tcPr>
          <w:p w14:paraId="1BD35579" w14:textId="77777777" w:rsidR="0017620F" w:rsidRDefault="00000000">
            <w:pPr>
              <w:widowControl w:val="0"/>
              <w:spacing w:after="0" w:line="240" w:lineRule="auto"/>
              <w:rPr>
                <w:rFonts w:ascii="Times New Roman" w:hAnsi="Times New Roman"/>
                <w:sz w:val="28"/>
                <w:szCs w:val="28"/>
                <w:lang w:val="uk-UA" w:eastAsia="zh-CN"/>
              </w:rPr>
            </w:pPr>
            <w:r>
              <w:rPr>
                <w:rFonts w:ascii="Times New Roman" w:hAnsi="Times New Roman"/>
                <w:color w:val="000000"/>
                <w:sz w:val="28"/>
                <w:szCs w:val="28"/>
                <w:lang w:val="uk-UA" w:eastAsia="zh-CN"/>
              </w:rPr>
              <w:t>Інші доходи</w:t>
            </w:r>
          </w:p>
        </w:tc>
        <w:tc>
          <w:tcPr>
            <w:tcW w:w="1200" w:type="dxa"/>
            <w:tcBorders>
              <w:left w:val="single" w:sz="2" w:space="0" w:color="000000"/>
              <w:bottom w:val="single" w:sz="2" w:space="0" w:color="000000"/>
            </w:tcBorders>
            <w:vAlign w:val="center"/>
          </w:tcPr>
          <w:p w14:paraId="1582BEC1"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53DCA3A4"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sz w:val="24"/>
                <w:lang w:val="uk-UA" w:eastAsia="zh-CN"/>
              </w:rPr>
              <w:t>11 320,0</w:t>
            </w:r>
          </w:p>
        </w:tc>
        <w:tc>
          <w:tcPr>
            <w:tcW w:w="1080" w:type="dxa"/>
            <w:tcBorders>
              <w:left w:val="single" w:sz="2" w:space="0" w:color="000000"/>
              <w:bottom w:val="single" w:sz="2" w:space="0" w:color="000000"/>
            </w:tcBorders>
            <w:vAlign w:val="center"/>
          </w:tcPr>
          <w:p w14:paraId="527EA6E4"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sz w:val="24"/>
                <w:lang w:val="uk-UA" w:eastAsia="zh-CN"/>
              </w:rPr>
              <w:t>21 222</w:t>
            </w:r>
          </w:p>
        </w:tc>
        <w:tc>
          <w:tcPr>
            <w:tcW w:w="1305" w:type="dxa"/>
            <w:tcBorders>
              <w:left w:val="single" w:sz="2" w:space="0" w:color="000000"/>
              <w:bottom w:val="single" w:sz="2" w:space="0" w:color="000000"/>
              <w:right w:val="single" w:sz="2" w:space="0" w:color="000000"/>
            </w:tcBorders>
            <w:vAlign w:val="center"/>
          </w:tcPr>
          <w:p w14:paraId="5FD54A46" w14:textId="77777777" w:rsidR="0017620F" w:rsidRDefault="00000000">
            <w:pPr>
              <w:widowControl w:val="0"/>
              <w:spacing w:after="0" w:line="240" w:lineRule="auto"/>
              <w:jc w:val="center"/>
              <w:rPr>
                <w:rFonts w:ascii="Times New Roman" w:hAnsi="Times New Roman"/>
                <w:lang w:val="uk-UA" w:eastAsia="zh-CN"/>
              </w:rPr>
            </w:pPr>
            <w:r>
              <w:rPr>
                <w:rFonts w:ascii="Times New Roman" w:hAnsi="Times New Roman"/>
                <w:color w:val="000000"/>
                <w:sz w:val="24"/>
                <w:lang w:val="uk-UA" w:eastAsia="zh-CN"/>
              </w:rPr>
              <w:t>13 734</w:t>
            </w:r>
          </w:p>
        </w:tc>
      </w:tr>
      <w:tr w:rsidR="0017620F" w14:paraId="6C9CD2C9" w14:textId="77777777">
        <w:trPr>
          <w:trHeight w:val="609"/>
        </w:trPr>
        <w:tc>
          <w:tcPr>
            <w:tcW w:w="4590" w:type="dxa"/>
            <w:tcBorders>
              <w:left w:val="single" w:sz="2" w:space="0" w:color="000000"/>
              <w:bottom w:val="single" w:sz="2" w:space="0" w:color="000000"/>
            </w:tcBorders>
            <w:vAlign w:val="center"/>
          </w:tcPr>
          <w:p w14:paraId="58216061" w14:textId="77777777" w:rsidR="0017620F" w:rsidRDefault="00000000">
            <w:pPr>
              <w:widowControl w:val="0"/>
              <w:spacing w:after="0" w:line="240" w:lineRule="auto"/>
              <w:jc w:val="right"/>
              <w:rPr>
                <w:rFonts w:ascii="Times New Roman" w:hAnsi="Times New Roman"/>
                <w:b/>
                <w:bCs/>
                <w:sz w:val="28"/>
                <w:szCs w:val="28"/>
                <w:lang w:val="uk-UA" w:eastAsia="zh-CN"/>
              </w:rPr>
            </w:pPr>
            <w:r>
              <w:rPr>
                <w:rFonts w:ascii="Times New Roman" w:hAnsi="Times New Roman"/>
                <w:b/>
                <w:bCs/>
                <w:color w:val="000000"/>
                <w:sz w:val="28"/>
                <w:szCs w:val="28"/>
                <w:lang w:val="uk-UA" w:eastAsia="zh-CN"/>
              </w:rPr>
              <w:t>Усього доходи:</w:t>
            </w:r>
          </w:p>
        </w:tc>
        <w:tc>
          <w:tcPr>
            <w:tcW w:w="1200" w:type="dxa"/>
            <w:tcBorders>
              <w:left w:val="single" w:sz="2" w:space="0" w:color="000000"/>
              <w:bottom w:val="single" w:sz="2" w:space="0" w:color="000000"/>
            </w:tcBorders>
            <w:vAlign w:val="center"/>
          </w:tcPr>
          <w:p w14:paraId="137B5A3C"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7E415FF9" w14:textId="77777777" w:rsidR="0017620F" w:rsidRDefault="00000000">
            <w:pPr>
              <w:widowControl w:val="0"/>
              <w:spacing w:after="0" w:line="240" w:lineRule="auto"/>
              <w:jc w:val="center"/>
              <w:rPr>
                <w:rFonts w:ascii="Times New Roman" w:hAnsi="Times New Roman"/>
                <w:b/>
                <w:bCs/>
                <w:lang w:val="uk-UA" w:eastAsia="zh-CN"/>
              </w:rPr>
            </w:pPr>
            <w:r>
              <w:rPr>
                <w:rFonts w:ascii="Times New Roman" w:hAnsi="Times New Roman"/>
                <w:b/>
                <w:bCs/>
                <w:sz w:val="24"/>
                <w:lang w:val="uk-UA" w:eastAsia="zh-CN"/>
              </w:rPr>
              <w:t>82 736,0</w:t>
            </w:r>
          </w:p>
        </w:tc>
        <w:tc>
          <w:tcPr>
            <w:tcW w:w="1080" w:type="dxa"/>
            <w:tcBorders>
              <w:left w:val="single" w:sz="2" w:space="0" w:color="000000"/>
              <w:bottom w:val="single" w:sz="2" w:space="0" w:color="000000"/>
            </w:tcBorders>
            <w:vAlign w:val="center"/>
          </w:tcPr>
          <w:p w14:paraId="2D0BCBCB" w14:textId="77777777" w:rsidR="0017620F" w:rsidRDefault="00000000">
            <w:pPr>
              <w:widowControl w:val="0"/>
              <w:spacing w:after="0" w:line="240" w:lineRule="auto"/>
              <w:jc w:val="center"/>
              <w:rPr>
                <w:rFonts w:ascii="Times New Roman" w:hAnsi="Times New Roman"/>
                <w:b/>
                <w:bCs/>
                <w:lang w:val="uk-UA" w:eastAsia="zh-CN"/>
              </w:rPr>
            </w:pPr>
            <w:r>
              <w:rPr>
                <w:rFonts w:ascii="Times New Roman" w:hAnsi="Times New Roman"/>
                <w:b/>
                <w:bCs/>
                <w:sz w:val="24"/>
                <w:lang w:val="uk-UA" w:eastAsia="zh-CN"/>
              </w:rPr>
              <w:t>141 985</w:t>
            </w:r>
          </w:p>
        </w:tc>
        <w:tc>
          <w:tcPr>
            <w:tcW w:w="1305" w:type="dxa"/>
            <w:tcBorders>
              <w:left w:val="single" w:sz="2" w:space="0" w:color="000000"/>
              <w:bottom w:val="single" w:sz="2" w:space="0" w:color="000000"/>
              <w:right w:val="single" w:sz="2" w:space="0" w:color="000000"/>
            </w:tcBorders>
            <w:vAlign w:val="center"/>
          </w:tcPr>
          <w:p w14:paraId="3895F9CC" w14:textId="77777777" w:rsidR="0017620F" w:rsidRDefault="00000000">
            <w:pPr>
              <w:widowControl w:val="0"/>
              <w:spacing w:after="0" w:line="240" w:lineRule="auto"/>
              <w:jc w:val="center"/>
              <w:rPr>
                <w:rFonts w:ascii="Times New Roman" w:hAnsi="Times New Roman"/>
                <w:b/>
                <w:bCs/>
                <w:lang w:val="uk-UA" w:eastAsia="zh-CN"/>
              </w:rPr>
            </w:pPr>
            <w:r>
              <w:rPr>
                <w:rFonts w:ascii="Times New Roman" w:hAnsi="Times New Roman"/>
                <w:b/>
                <w:bCs/>
                <w:sz w:val="24"/>
                <w:lang w:val="uk-UA" w:eastAsia="zh-CN"/>
              </w:rPr>
              <w:t>159 062</w:t>
            </w:r>
          </w:p>
        </w:tc>
      </w:tr>
      <w:tr w:rsidR="0017620F" w14:paraId="68786A27" w14:textId="77777777">
        <w:trPr>
          <w:trHeight w:val="609"/>
        </w:trPr>
        <w:tc>
          <w:tcPr>
            <w:tcW w:w="4590" w:type="dxa"/>
            <w:tcBorders>
              <w:left w:val="single" w:sz="2" w:space="0" w:color="000000"/>
              <w:bottom w:val="single" w:sz="2" w:space="0" w:color="000000"/>
            </w:tcBorders>
            <w:vAlign w:val="center"/>
          </w:tcPr>
          <w:p w14:paraId="574F5464"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Собівартість реалізованої продукції</w:t>
            </w:r>
          </w:p>
        </w:tc>
        <w:tc>
          <w:tcPr>
            <w:tcW w:w="1200" w:type="dxa"/>
            <w:tcBorders>
              <w:left w:val="single" w:sz="2" w:space="0" w:color="000000"/>
              <w:bottom w:val="single" w:sz="2" w:space="0" w:color="000000"/>
            </w:tcBorders>
            <w:vAlign w:val="center"/>
          </w:tcPr>
          <w:p w14:paraId="19656569"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61F021E4"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71 964,0</w:t>
            </w:r>
          </w:p>
        </w:tc>
        <w:tc>
          <w:tcPr>
            <w:tcW w:w="1080" w:type="dxa"/>
            <w:tcBorders>
              <w:left w:val="single" w:sz="2" w:space="0" w:color="000000"/>
              <w:bottom w:val="single" w:sz="2" w:space="0" w:color="000000"/>
            </w:tcBorders>
            <w:vAlign w:val="center"/>
          </w:tcPr>
          <w:p w14:paraId="5451233C"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109 990,0</w:t>
            </w:r>
          </w:p>
        </w:tc>
        <w:tc>
          <w:tcPr>
            <w:tcW w:w="1305" w:type="dxa"/>
            <w:tcBorders>
              <w:left w:val="single" w:sz="2" w:space="0" w:color="000000"/>
              <w:bottom w:val="single" w:sz="2" w:space="0" w:color="000000"/>
              <w:right w:val="single" w:sz="2" w:space="0" w:color="000000"/>
            </w:tcBorders>
            <w:vAlign w:val="center"/>
          </w:tcPr>
          <w:p w14:paraId="47C194DB"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117 618,0</w:t>
            </w:r>
          </w:p>
        </w:tc>
      </w:tr>
      <w:tr w:rsidR="0017620F" w14:paraId="3DB68E99" w14:textId="77777777">
        <w:trPr>
          <w:trHeight w:val="609"/>
        </w:trPr>
        <w:tc>
          <w:tcPr>
            <w:tcW w:w="4590" w:type="dxa"/>
            <w:tcBorders>
              <w:left w:val="single" w:sz="2" w:space="0" w:color="000000"/>
              <w:bottom w:val="single" w:sz="2" w:space="0" w:color="000000"/>
            </w:tcBorders>
            <w:vAlign w:val="center"/>
          </w:tcPr>
          <w:p w14:paraId="6E8D36C7"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Адміністративні витрати</w:t>
            </w:r>
          </w:p>
        </w:tc>
        <w:tc>
          <w:tcPr>
            <w:tcW w:w="1200" w:type="dxa"/>
            <w:tcBorders>
              <w:left w:val="single" w:sz="2" w:space="0" w:color="000000"/>
              <w:bottom w:val="single" w:sz="2" w:space="0" w:color="000000"/>
            </w:tcBorders>
            <w:vAlign w:val="center"/>
          </w:tcPr>
          <w:p w14:paraId="3A7B5D9D"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29C32A7A"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6 150,0</w:t>
            </w:r>
          </w:p>
        </w:tc>
        <w:tc>
          <w:tcPr>
            <w:tcW w:w="1080" w:type="dxa"/>
            <w:tcBorders>
              <w:left w:val="single" w:sz="2" w:space="0" w:color="000000"/>
              <w:bottom w:val="single" w:sz="2" w:space="0" w:color="000000"/>
            </w:tcBorders>
            <w:vAlign w:val="center"/>
          </w:tcPr>
          <w:p w14:paraId="3F414703"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7 840,0</w:t>
            </w:r>
          </w:p>
        </w:tc>
        <w:tc>
          <w:tcPr>
            <w:tcW w:w="1305" w:type="dxa"/>
            <w:tcBorders>
              <w:left w:val="single" w:sz="2" w:space="0" w:color="000000"/>
              <w:bottom w:val="single" w:sz="2" w:space="0" w:color="000000"/>
              <w:right w:val="single" w:sz="2" w:space="0" w:color="000000"/>
            </w:tcBorders>
            <w:vAlign w:val="center"/>
          </w:tcPr>
          <w:p w14:paraId="464E1CE0"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10 268,0</w:t>
            </w:r>
          </w:p>
        </w:tc>
      </w:tr>
      <w:tr w:rsidR="0017620F" w14:paraId="150E749E" w14:textId="77777777">
        <w:trPr>
          <w:trHeight w:val="609"/>
        </w:trPr>
        <w:tc>
          <w:tcPr>
            <w:tcW w:w="4590" w:type="dxa"/>
            <w:tcBorders>
              <w:left w:val="single" w:sz="2" w:space="0" w:color="000000"/>
              <w:bottom w:val="single" w:sz="2" w:space="0" w:color="000000"/>
            </w:tcBorders>
            <w:vAlign w:val="center"/>
          </w:tcPr>
          <w:p w14:paraId="1F895987"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Витрати на збут</w:t>
            </w:r>
          </w:p>
        </w:tc>
        <w:tc>
          <w:tcPr>
            <w:tcW w:w="1200" w:type="dxa"/>
            <w:tcBorders>
              <w:left w:val="single" w:sz="2" w:space="0" w:color="000000"/>
              <w:bottom w:val="single" w:sz="2" w:space="0" w:color="000000"/>
            </w:tcBorders>
            <w:vAlign w:val="center"/>
          </w:tcPr>
          <w:p w14:paraId="733C50A1"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6BEE205B"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2 422,0</w:t>
            </w:r>
          </w:p>
        </w:tc>
        <w:tc>
          <w:tcPr>
            <w:tcW w:w="1080" w:type="dxa"/>
            <w:tcBorders>
              <w:left w:val="single" w:sz="2" w:space="0" w:color="000000"/>
              <w:bottom w:val="single" w:sz="2" w:space="0" w:color="000000"/>
            </w:tcBorders>
            <w:vAlign w:val="center"/>
          </w:tcPr>
          <w:p w14:paraId="295C243E"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2 935,0</w:t>
            </w:r>
          </w:p>
        </w:tc>
        <w:tc>
          <w:tcPr>
            <w:tcW w:w="1305" w:type="dxa"/>
            <w:tcBorders>
              <w:left w:val="single" w:sz="2" w:space="0" w:color="000000"/>
              <w:bottom w:val="single" w:sz="2" w:space="0" w:color="000000"/>
              <w:right w:val="single" w:sz="2" w:space="0" w:color="000000"/>
            </w:tcBorders>
            <w:vAlign w:val="center"/>
          </w:tcPr>
          <w:p w14:paraId="4EE728A0"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3 584,0</w:t>
            </w:r>
          </w:p>
        </w:tc>
      </w:tr>
      <w:tr w:rsidR="0017620F" w14:paraId="2DF0A62F" w14:textId="77777777">
        <w:trPr>
          <w:trHeight w:val="609"/>
        </w:trPr>
        <w:tc>
          <w:tcPr>
            <w:tcW w:w="4590" w:type="dxa"/>
            <w:tcBorders>
              <w:left w:val="single" w:sz="2" w:space="0" w:color="000000"/>
              <w:bottom w:val="single" w:sz="2" w:space="0" w:color="000000"/>
            </w:tcBorders>
            <w:vAlign w:val="center"/>
          </w:tcPr>
          <w:p w14:paraId="669C99DA"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Інші витрати</w:t>
            </w:r>
          </w:p>
        </w:tc>
        <w:tc>
          <w:tcPr>
            <w:tcW w:w="1200" w:type="dxa"/>
            <w:tcBorders>
              <w:left w:val="single" w:sz="2" w:space="0" w:color="000000"/>
              <w:bottom w:val="single" w:sz="2" w:space="0" w:color="000000"/>
            </w:tcBorders>
            <w:vAlign w:val="center"/>
          </w:tcPr>
          <w:p w14:paraId="20C732D6"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14F61223"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2 892,0</w:t>
            </w:r>
          </w:p>
        </w:tc>
        <w:tc>
          <w:tcPr>
            <w:tcW w:w="1080" w:type="dxa"/>
            <w:tcBorders>
              <w:left w:val="single" w:sz="2" w:space="0" w:color="000000"/>
              <w:bottom w:val="single" w:sz="2" w:space="0" w:color="000000"/>
            </w:tcBorders>
            <w:vAlign w:val="center"/>
          </w:tcPr>
          <w:p w14:paraId="3F228CC0"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2 537,0</w:t>
            </w:r>
          </w:p>
        </w:tc>
        <w:tc>
          <w:tcPr>
            <w:tcW w:w="1305" w:type="dxa"/>
            <w:tcBorders>
              <w:left w:val="single" w:sz="2" w:space="0" w:color="000000"/>
              <w:bottom w:val="single" w:sz="2" w:space="0" w:color="000000"/>
              <w:right w:val="single" w:sz="2" w:space="0" w:color="000000"/>
            </w:tcBorders>
            <w:vAlign w:val="center"/>
          </w:tcPr>
          <w:p w14:paraId="2B7E78E5"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4 547,0</w:t>
            </w:r>
          </w:p>
        </w:tc>
      </w:tr>
      <w:tr w:rsidR="0017620F" w14:paraId="4E08E252" w14:textId="77777777">
        <w:trPr>
          <w:trHeight w:val="609"/>
        </w:trPr>
        <w:tc>
          <w:tcPr>
            <w:tcW w:w="4590" w:type="dxa"/>
            <w:tcBorders>
              <w:left w:val="single" w:sz="2" w:space="0" w:color="000000"/>
              <w:bottom w:val="single" w:sz="2" w:space="0" w:color="000000"/>
            </w:tcBorders>
            <w:vAlign w:val="center"/>
          </w:tcPr>
          <w:p w14:paraId="04242D5F" w14:textId="77777777" w:rsidR="0017620F" w:rsidRDefault="00000000">
            <w:pPr>
              <w:widowControl w:val="0"/>
              <w:spacing w:after="0" w:line="240" w:lineRule="auto"/>
              <w:jc w:val="right"/>
              <w:rPr>
                <w:rFonts w:ascii="Times New Roman" w:hAnsi="Times New Roman"/>
                <w:b/>
                <w:bCs/>
                <w:sz w:val="28"/>
                <w:szCs w:val="28"/>
                <w:lang w:val="uk-UA" w:eastAsia="zh-CN"/>
              </w:rPr>
            </w:pPr>
            <w:r>
              <w:rPr>
                <w:rFonts w:ascii="Times New Roman" w:hAnsi="Times New Roman"/>
                <w:b/>
                <w:bCs/>
                <w:color w:val="000000"/>
                <w:sz w:val="28"/>
                <w:szCs w:val="28"/>
                <w:lang w:val="uk-UA" w:eastAsia="zh-CN"/>
              </w:rPr>
              <w:t>Усього витрати:</w:t>
            </w:r>
          </w:p>
        </w:tc>
        <w:tc>
          <w:tcPr>
            <w:tcW w:w="1200" w:type="dxa"/>
            <w:tcBorders>
              <w:left w:val="single" w:sz="2" w:space="0" w:color="000000"/>
              <w:bottom w:val="single" w:sz="2" w:space="0" w:color="000000"/>
            </w:tcBorders>
            <w:vAlign w:val="center"/>
          </w:tcPr>
          <w:p w14:paraId="7AED563F"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7E12ACB0"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83 428,0</w:t>
            </w:r>
          </w:p>
        </w:tc>
        <w:tc>
          <w:tcPr>
            <w:tcW w:w="1080" w:type="dxa"/>
            <w:tcBorders>
              <w:left w:val="single" w:sz="2" w:space="0" w:color="000000"/>
              <w:bottom w:val="single" w:sz="2" w:space="0" w:color="000000"/>
            </w:tcBorders>
            <w:vAlign w:val="center"/>
          </w:tcPr>
          <w:p w14:paraId="2D77DB3E"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123 302,0</w:t>
            </w:r>
          </w:p>
        </w:tc>
        <w:tc>
          <w:tcPr>
            <w:tcW w:w="1305" w:type="dxa"/>
            <w:tcBorders>
              <w:left w:val="single" w:sz="2" w:space="0" w:color="000000"/>
              <w:bottom w:val="single" w:sz="2" w:space="0" w:color="000000"/>
              <w:right w:val="single" w:sz="2" w:space="0" w:color="000000"/>
            </w:tcBorders>
            <w:vAlign w:val="center"/>
          </w:tcPr>
          <w:p w14:paraId="6A22A460"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136 017,0</w:t>
            </w:r>
          </w:p>
        </w:tc>
      </w:tr>
      <w:tr w:rsidR="0017620F" w14:paraId="33637E6A" w14:textId="77777777">
        <w:trPr>
          <w:trHeight w:val="609"/>
        </w:trPr>
        <w:tc>
          <w:tcPr>
            <w:tcW w:w="4590" w:type="dxa"/>
            <w:tcBorders>
              <w:left w:val="single" w:sz="2" w:space="0" w:color="000000"/>
              <w:bottom w:val="single" w:sz="2" w:space="0" w:color="000000"/>
            </w:tcBorders>
            <w:vAlign w:val="center"/>
          </w:tcPr>
          <w:p w14:paraId="45DF4FC3" w14:textId="77777777" w:rsidR="0017620F" w:rsidRDefault="00000000">
            <w:pPr>
              <w:widowControl w:val="0"/>
              <w:spacing w:after="0" w:line="240" w:lineRule="auto"/>
              <w:jc w:val="right"/>
              <w:rPr>
                <w:rFonts w:ascii="Times New Roman" w:hAnsi="Times New Roman"/>
                <w:b/>
                <w:bCs/>
                <w:sz w:val="28"/>
                <w:szCs w:val="28"/>
                <w:lang w:val="uk-UA" w:eastAsia="zh-CN"/>
              </w:rPr>
            </w:pPr>
            <w:r>
              <w:rPr>
                <w:rFonts w:ascii="Times New Roman" w:hAnsi="Times New Roman"/>
                <w:b/>
                <w:bCs/>
                <w:color w:val="000000"/>
                <w:sz w:val="28"/>
                <w:szCs w:val="28"/>
                <w:lang w:val="uk-UA" w:eastAsia="zh-CN"/>
              </w:rPr>
              <w:t>Фінансовий результат діяльності:</w:t>
            </w:r>
          </w:p>
        </w:tc>
        <w:tc>
          <w:tcPr>
            <w:tcW w:w="1200" w:type="dxa"/>
            <w:tcBorders>
              <w:left w:val="single" w:sz="2" w:space="0" w:color="000000"/>
              <w:bottom w:val="single" w:sz="2" w:space="0" w:color="000000"/>
            </w:tcBorders>
            <w:vAlign w:val="center"/>
          </w:tcPr>
          <w:p w14:paraId="2303BBDE" w14:textId="77777777" w:rsidR="0017620F" w:rsidRDefault="00000000">
            <w:pPr>
              <w:widowControl w:val="0"/>
              <w:spacing w:after="0" w:line="240" w:lineRule="auto"/>
              <w:jc w:val="center"/>
              <w:rPr>
                <w:rFonts w:ascii="Times New Roman" w:hAnsi="Times New Roman"/>
                <w:b/>
                <w:bCs/>
                <w:sz w:val="28"/>
                <w:szCs w:val="28"/>
                <w:lang w:val="uk-UA" w:eastAsia="zh-CN"/>
              </w:rPr>
            </w:pPr>
            <w:r>
              <w:rPr>
                <w:rFonts w:ascii="Times New Roman" w:hAnsi="Times New Roman"/>
                <w:b/>
                <w:bCs/>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614AE6D3"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-692,0</w:t>
            </w:r>
          </w:p>
        </w:tc>
        <w:tc>
          <w:tcPr>
            <w:tcW w:w="1080" w:type="dxa"/>
            <w:tcBorders>
              <w:left w:val="single" w:sz="2" w:space="0" w:color="000000"/>
              <w:bottom w:val="single" w:sz="2" w:space="0" w:color="000000"/>
            </w:tcBorders>
            <w:vAlign w:val="center"/>
          </w:tcPr>
          <w:p w14:paraId="118608D1"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18 683,0</w:t>
            </w:r>
          </w:p>
        </w:tc>
        <w:tc>
          <w:tcPr>
            <w:tcW w:w="1305" w:type="dxa"/>
            <w:tcBorders>
              <w:left w:val="single" w:sz="2" w:space="0" w:color="000000"/>
              <w:bottom w:val="single" w:sz="2" w:space="0" w:color="000000"/>
              <w:right w:val="single" w:sz="2" w:space="0" w:color="000000"/>
            </w:tcBorders>
            <w:vAlign w:val="center"/>
          </w:tcPr>
          <w:p w14:paraId="5E0CFD6F" w14:textId="77777777" w:rsidR="0017620F" w:rsidRDefault="00000000">
            <w:pPr>
              <w:pStyle w:val="af7"/>
              <w:widowControl w:val="0"/>
              <w:spacing w:after="0" w:line="240" w:lineRule="auto"/>
              <w:jc w:val="center"/>
              <w:rPr>
                <w:rFonts w:ascii="Times New Roman" w:hAnsi="Times New Roman"/>
                <w:b/>
                <w:bCs/>
                <w:color w:val="000000"/>
                <w:sz w:val="24"/>
                <w:lang w:val="uk-UA" w:eastAsia="zh-CN"/>
              </w:rPr>
            </w:pPr>
            <w:r>
              <w:rPr>
                <w:rFonts w:ascii="Times New Roman" w:hAnsi="Times New Roman"/>
                <w:b/>
                <w:bCs/>
                <w:color w:val="000000"/>
                <w:sz w:val="24"/>
                <w:lang w:val="uk-UA" w:eastAsia="zh-CN"/>
              </w:rPr>
              <w:t>23 045,0</w:t>
            </w:r>
          </w:p>
        </w:tc>
      </w:tr>
      <w:tr w:rsidR="0017620F" w14:paraId="7FDCFD78" w14:textId="77777777">
        <w:trPr>
          <w:trHeight w:val="609"/>
        </w:trPr>
        <w:tc>
          <w:tcPr>
            <w:tcW w:w="4590" w:type="dxa"/>
            <w:tcBorders>
              <w:left w:val="single" w:sz="2" w:space="0" w:color="000000"/>
              <w:bottom w:val="single" w:sz="2" w:space="0" w:color="000000"/>
            </w:tcBorders>
            <w:vAlign w:val="center"/>
          </w:tcPr>
          <w:p w14:paraId="0AF5825A"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Середньооблікова чисельність працюючих</w:t>
            </w:r>
          </w:p>
        </w:tc>
        <w:tc>
          <w:tcPr>
            <w:tcW w:w="1200" w:type="dxa"/>
            <w:tcBorders>
              <w:left w:val="single" w:sz="2" w:space="0" w:color="000000"/>
              <w:bottom w:val="single" w:sz="2" w:space="0" w:color="000000"/>
            </w:tcBorders>
            <w:vAlign w:val="center"/>
          </w:tcPr>
          <w:p w14:paraId="07966202" w14:textId="77777777" w:rsidR="0017620F" w:rsidRDefault="00000000">
            <w:pPr>
              <w:pStyle w:val="af7"/>
              <w:widowControl w:val="0"/>
              <w:spacing w:after="0" w:line="240" w:lineRule="auto"/>
              <w:jc w:val="center"/>
              <w:rPr>
                <w:rFonts w:ascii="Times New Roman" w:hAnsi="Times New Roman"/>
                <w:color w:val="000000"/>
                <w:sz w:val="28"/>
                <w:szCs w:val="28"/>
                <w:lang w:val="uk-UA" w:eastAsia="zh-CN"/>
              </w:rPr>
            </w:pPr>
            <w:proofErr w:type="spellStart"/>
            <w:r>
              <w:rPr>
                <w:rFonts w:ascii="Times New Roman" w:hAnsi="Times New Roman"/>
                <w:color w:val="000000"/>
                <w:sz w:val="28"/>
                <w:szCs w:val="28"/>
                <w:lang w:val="uk-UA" w:eastAsia="zh-CN"/>
              </w:rPr>
              <w:t>чол</w:t>
            </w:r>
            <w:proofErr w:type="spellEnd"/>
            <w:r>
              <w:rPr>
                <w:rFonts w:ascii="Times New Roman" w:hAnsi="Times New Roman"/>
                <w:color w:val="000000"/>
                <w:sz w:val="28"/>
                <w:szCs w:val="28"/>
                <w:lang w:val="uk-UA" w:eastAsia="zh-CN"/>
              </w:rPr>
              <w:t>.</w:t>
            </w:r>
          </w:p>
        </w:tc>
        <w:tc>
          <w:tcPr>
            <w:tcW w:w="1185" w:type="dxa"/>
            <w:tcBorders>
              <w:left w:val="single" w:sz="2" w:space="0" w:color="000000"/>
              <w:bottom w:val="single" w:sz="2" w:space="0" w:color="000000"/>
            </w:tcBorders>
            <w:vAlign w:val="center"/>
          </w:tcPr>
          <w:p w14:paraId="2F3A99C1"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281</w:t>
            </w:r>
          </w:p>
        </w:tc>
        <w:tc>
          <w:tcPr>
            <w:tcW w:w="1080" w:type="dxa"/>
            <w:tcBorders>
              <w:left w:val="single" w:sz="2" w:space="0" w:color="000000"/>
              <w:bottom w:val="single" w:sz="2" w:space="0" w:color="000000"/>
            </w:tcBorders>
            <w:vAlign w:val="center"/>
          </w:tcPr>
          <w:p w14:paraId="76294F56"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258</w:t>
            </w:r>
          </w:p>
        </w:tc>
        <w:tc>
          <w:tcPr>
            <w:tcW w:w="1305" w:type="dxa"/>
            <w:tcBorders>
              <w:left w:val="single" w:sz="2" w:space="0" w:color="000000"/>
              <w:bottom w:val="single" w:sz="2" w:space="0" w:color="000000"/>
              <w:right w:val="single" w:sz="2" w:space="0" w:color="000000"/>
            </w:tcBorders>
            <w:vAlign w:val="center"/>
          </w:tcPr>
          <w:p w14:paraId="29D5885C"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256</w:t>
            </w:r>
          </w:p>
        </w:tc>
      </w:tr>
      <w:tr w:rsidR="0017620F" w14:paraId="15B6241C" w14:textId="77777777">
        <w:trPr>
          <w:trHeight w:val="609"/>
        </w:trPr>
        <w:tc>
          <w:tcPr>
            <w:tcW w:w="4590" w:type="dxa"/>
            <w:tcBorders>
              <w:left w:val="single" w:sz="2" w:space="0" w:color="000000"/>
              <w:bottom w:val="single" w:sz="2" w:space="0" w:color="000000"/>
            </w:tcBorders>
            <w:vAlign w:val="center"/>
          </w:tcPr>
          <w:p w14:paraId="5BF4F2CE" w14:textId="77777777" w:rsidR="0017620F" w:rsidRDefault="00000000">
            <w:pPr>
              <w:pStyle w:val="af7"/>
              <w:widowControl w:val="0"/>
              <w:spacing w:after="0" w:line="240" w:lineRule="auto"/>
              <w:rPr>
                <w:rFonts w:ascii="Times New Roman" w:hAnsi="Times New Roman"/>
                <w:b/>
                <w:bCs/>
                <w:color w:val="000000"/>
                <w:sz w:val="28"/>
                <w:szCs w:val="28"/>
                <w:lang w:val="uk-UA" w:eastAsia="zh-CN"/>
              </w:rPr>
            </w:pPr>
            <w:r>
              <w:rPr>
                <w:rFonts w:ascii="Times New Roman" w:hAnsi="Times New Roman"/>
                <w:b/>
                <w:bCs/>
                <w:color w:val="000000"/>
                <w:sz w:val="28"/>
                <w:szCs w:val="28"/>
                <w:lang w:val="uk-UA" w:eastAsia="zh-CN"/>
              </w:rPr>
              <w:t>Середня заробітна плата персоналу</w:t>
            </w:r>
          </w:p>
        </w:tc>
        <w:tc>
          <w:tcPr>
            <w:tcW w:w="1200" w:type="dxa"/>
            <w:tcBorders>
              <w:left w:val="single" w:sz="2" w:space="0" w:color="000000"/>
              <w:bottom w:val="single" w:sz="2" w:space="0" w:color="000000"/>
            </w:tcBorders>
            <w:vAlign w:val="center"/>
          </w:tcPr>
          <w:p w14:paraId="5F13BFBF" w14:textId="77777777" w:rsidR="0017620F" w:rsidRDefault="00000000">
            <w:pPr>
              <w:pStyle w:val="af7"/>
              <w:widowControl w:val="0"/>
              <w:spacing w:after="0" w:line="240" w:lineRule="auto"/>
              <w:jc w:val="center"/>
              <w:rPr>
                <w:rFonts w:ascii="Times New Roman" w:hAnsi="Times New Roman"/>
                <w:b/>
                <w:bCs/>
                <w:color w:val="000000"/>
                <w:sz w:val="28"/>
                <w:szCs w:val="28"/>
                <w:lang w:val="uk-UA" w:eastAsia="zh-CN"/>
              </w:rPr>
            </w:pPr>
            <w:r>
              <w:rPr>
                <w:rFonts w:ascii="Times New Roman" w:hAnsi="Times New Roman"/>
                <w:b/>
                <w:bCs/>
                <w:color w:val="000000"/>
                <w:sz w:val="28"/>
                <w:szCs w:val="28"/>
                <w:lang w:val="uk-UA" w:eastAsia="zh-CN"/>
              </w:rPr>
              <w:t>грн</w:t>
            </w:r>
          </w:p>
        </w:tc>
        <w:tc>
          <w:tcPr>
            <w:tcW w:w="1185" w:type="dxa"/>
            <w:tcBorders>
              <w:left w:val="single" w:sz="2" w:space="0" w:color="000000"/>
              <w:bottom w:val="single" w:sz="2" w:space="0" w:color="000000"/>
            </w:tcBorders>
            <w:vAlign w:val="center"/>
          </w:tcPr>
          <w:p w14:paraId="13AFE658" w14:textId="77777777" w:rsidR="0017620F" w:rsidRDefault="00000000">
            <w:pPr>
              <w:pStyle w:val="af7"/>
              <w:widowControl w:val="0"/>
              <w:spacing w:after="0" w:line="240" w:lineRule="auto"/>
              <w:jc w:val="center"/>
              <w:rPr>
                <w:rFonts w:ascii="Times New Roman" w:hAnsi="Times New Roman"/>
                <w:color w:val="000000"/>
                <w:sz w:val="24"/>
                <w:lang w:val="uk-UA"/>
              </w:rPr>
            </w:pPr>
            <w:r>
              <w:rPr>
                <w:rFonts w:ascii="Times New Roman" w:hAnsi="Times New Roman"/>
                <w:color w:val="000000"/>
                <w:sz w:val="24"/>
                <w:lang w:val="uk-UA"/>
              </w:rPr>
              <w:t>11 916,45</w:t>
            </w:r>
          </w:p>
        </w:tc>
        <w:tc>
          <w:tcPr>
            <w:tcW w:w="1080" w:type="dxa"/>
            <w:tcBorders>
              <w:left w:val="single" w:sz="2" w:space="0" w:color="000000"/>
              <w:bottom w:val="single" w:sz="2" w:space="0" w:color="000000"/>
            </w:tcBorders>
            <w:vAlign w:val="center"/>
          </w:tcPr>
          <w:p w14:paraId="5E247D48" w14:textId="77777777" w:rsidR="0017620F" w:rsidRDefault="00000000">
            <w:pPr>
              <w:pStyle w:val="af7"/>
              <w:widowControl w:val="0"/>
              <w:spacing w:after="0" w:line="240" w:lineRule="auto"/>
              <w:jc w:val="center"/>
              <w:rPr>
                <w:rFonts w:ascii="Times New Roman" w:hAnsi="Times New Roman"/>
                <w:color w:val="000000"/>
                <w:sz w:val="24"/>
                <w:lang w:val="uk-UA"/>
              </w:rPr>
            </w:pPr>
            <w:r>
              <w:rPr>
                <w:rFonts w:ascii="Times New Roman" w:hAnsi="Times New Roman"/>
                <w:color w:val="000000"/>
                <w:sz w:val="24"/>
                <w:lang w:val="uk-UA"/>
              </w:rPr>
              <w:t>14 712,57</w:t>
            </w:r>
          </w:p>
        </w:tc>
        <w:tc>
          <w:tcPr>
            <w:tcW w:w="1305" w:type="dxa"/>
            <w:tcBorders>
              <w:left w:val="single" w:sz="2" w:space="0" w:color="000000"/>
              <w:bottom w:val="single" w:sz="2" w:space="0" w:color="000000"/>
              <w:right w:val="single" w:sz="2" w:space="0" w:color="000000"/>
            </w:tcBorders>
            <w:vAlign w:val="center"/>
          </w:tcPr>
          <w:p w14:paraId="38E71FA7" w14:textId="77777777" w:rsidR="0017620F" w:rsidRDefault="00000000">
            <w:pPr>
              <w:pStyle w:val="af7"/>
              <w:widowControl w:val="0"/>
              <w:spacing w:after="0" w:line="240" w:lineRule="auto"/>
              <w:jc w:val="center"/>
              <w:rPr>
                <w:rFonts w:ascii="Times New Roman" w:hAnsi="Times New Roman"/>
                <w:sz w:val="24"/>
                <w:lang w:val="uk-UA"/>
              </w:rPr>
            </w:pPr>
            <w:r>
              <w:rPr>
                <w:rFonts w:ascii="Times New Roman" w:hAnsi="Times New Roman"/>
                <w:sz w:val="24"/>
                <w:lang w:val="uk-UA"/>
              </w:rPr>
              <w:t>17 734,67</w:t>
            </w:r>
          </w:p>
        </w:tc>
      </w:tr>
      <w:tr w:rsidR="0017620F" w14:paraId="2AA6212E" w14:textId="77777777">
        <w:trPr>
          <w:trHeight w:val="609"/>
        </w:trPr>
        <w:tc>
          <w:tcPr>
            <w:tcW w:w="4590" w:type="dxa"/>
            <w:tcBorders>
              <w:left w:val="single" w:sz="2" w:space="0" w:color="000000"/>
              <w:bottom w:val="single" w:sz="2" w:space="0" w:color="000000"/>
            </w:tcBorders>
            <w:vAlign w:val="center"/>
          </w:tcPr>
          <w:p w14:paraId="079402DE"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Дебіторська заборгованість за надані послуги</w:t>
            </w:r>
          </w:p>
        </w:tc>
        <w:tc>
          <w:tcPr>
            <w:tcW w:w="1200" w:type="dxa"/>
            <w:tcBorders>
              <w:left w:val="single" w:sz="2" w:space="0" w:color="000000"/>
              <w:bottom w:val="single" w:sz="2" w:space="0" w:color="000000"/>
            </w:tcBorders>
            <w:vAlign w:val="center"/>
          </w:tcPr>
          <w:p w14:paraId="543EB712"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тис. грн</w:t>
            </w:r>
          </w:p>
        </w:tc>
        <w:tc>
          <w:tcPr>
            <w:tcW w:w="1185" w:type="dxa"/>
            <w:tcBorders>
              <w:left w:val="single" w:sz="2" w:space="0" w:color="000000"/>
              <w:bottom w:val="single" w:sz="2" w:space="0" w:color="000000"/>
            </w:tcBorders>
            <w:vAlign w:val="center"/>
          </w:tcPr>
          <w:p w14:paraId="0501FEC4" w14:textId="77777777" w:rsidR="0017620F" w:rsidRDefault="00000000">
            <w:pPr>
              <w:pStyle w:val="af7"/>
              <w:widowControl w:val="0"/>
              <w:spacing w:after="0" w:line="240" w:lineRule="auto"/>
              <w:jc w:val="center"/>
              <w:rPr>
                <w:rFonts w:ascii="Times New Roman" w:hAnsi="Times New Roman"/>
                <w:color w:val="000000"/>
                <w:sz w:val="24"/>
                <w:lang w:val="uk-UA"/>
              </w:rPr>
            </w:pPr>
            <w:r>
              <w:rPr>
                <w:rFonts w:ascii="Times New Roman" w:hAnsi="Times New Roman"/>
                <w:color w:val="000000"/>
                <w:sz w:val="24"/>
                <w:lang w:val="uk-UA"/>
              </w:rPr>
              <w:t>12 588,7</w:t>
            </w:r>
          </w:p>
        </w:tc>
        <w:tc>
          <w:tcPr>
            <w:tcW w:w="1080" w:type="dxa"/>
            <w:tcBorders>
              <w:left w:val="single" w:sz="2" w:space="0" w:color="000000"/>
              <w:bottom w:val="single" w:sz="2" w:space="0" w:color="000000"/>
            </w:tcBorders>
            <w:vAlign w:val="center"/>
          </w:tcPr>
          <w:p w14:paraId="389754C9" w14:textId="77777777" w:rsidR="0017620F" w:rsidRDefault="00000000">
            <w:pPr>
              <w:pStyle w:val="af7"/>
              <w:widowControl w:val="0"/>
              <w:spacing w:after="0" w:line="240" w:lineRule="auto"/>
              <w:jc w:val="center"/>
              <w:rPr>
                <w:rFonts w:ascii="Times New Roman" w:hAnsi="Times New Roman"/>
                <w:color w:val="000000"/>
                <w:sz w:val="24"/>
                <w:lang w:val="uk-UA"/>
              </w:rPr>
            </w:pPr>
            <w:r>
              <w:rPr>
                <w:rFonts w:ascii="Times New Roman" w:hAnsi="Times New Roman"/>
                <w:color w:val="000000"/>
                <w:sz w:val="24"/>
                <w:lang w:val="uk-UA"/>
              </w:rPr>
              <w:t>20 487,1</w:t>
            </w:r>
          </w:p>
        </w:tc>
        <w:tc>
          <w:tcPr>
            <w:tcW w:w="1305" w:type="dxa"/>
            <w:tcBorders>
              <w:left w:val="single" w:sz="2" w:space="0" w:color="000000"/>
              <w:bottom w:val="single" w:sz="2" w:space="0" w:color="000000"/>
              <w:right w:val="single" w:sz="2" w:space="0" w:color="000000"/>
            </w:tcBorders>
            <w:vAlign w:val="center"/>
          </w:tcPr>
          <w:p w14:paraId="209C639C" w14:textId="77777777" w:rsidR="0017620F" w:rsidRDefault="00000000">
            <w:pPr>
              <w:pStyle w:val="af7"/>
              <w:widowControl w:val="0"/>
              <w:spacing w:after="0" w:line="240" w:lineRule="auto"/>
              <w:jc w:val="center"/>
              <w:rPr>
                <w:rFonts w:ascii="Times New Roman" w:hAnsi="Times New Roman"/>
                <w:sz w:val="24"/>
                <w:lang w:val="uk-UA"/>
              </w:rPr>
            </w:pPr>
            <w:r>
              <w:rPr>
                <w:rFonts w:ascii="Times New Roman" w:hAnsi="Times New Roman"/>
                <w:sz w:val="24"/>
                <w:lang w:val="uk-UA"/>
              </w:rPr>
              <w:t>28 428,5</w:t>
            </w:r>
          </w:p>
        </w:tc>
      </w:tr>
      <w:tr w:rsidR="0017620F" w14:paraId="2BABAC5E" w14:textId="77777777">
        <w:trPr>
          <w:trHeight w:val="609"/>
        </w:trPr>
        <w:tc>
          <w:tcPr>
            <w:tcW w:w="4590" w:type="dxa"/>
            <w:tcBorders>
              <w:left w:val="single" w:sz="2" w:space="0" w:color="000000"/>
              <w:bottom w:val="single" w:sz="2" w:space="0" w:color="000000"/>
            </w:tcBorders>
            <w:vAlign w:val="center"/>
          </w:tcPr>
          <w:p w14:paraId="42539C74"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Рівень розрахунків</w:t>
            </w:r>
          </w:p>
        </w:tc>
        <w:tc>
          <w:tcPr>
            <w:tcW w:w="1200" w:type="dxa"/>
            <w:tcBorders>
              <w:left w:val="single" w:sz="2" w:space="0" w:color="000000"/>
              <w:bottom w:val="single" w:sz="2" w:space="0" w:color="000000"/>
            </w:tcBorders>
            <w:vAlign w:val="center"/>
          </w:tcPr>
          <w:p w14:paraId="1CA5F791" w14:textId="77777777" w:rsidR="0017620F" w:rsidRDefault="00000000">
            <w:pPr>
              <w:widowControl w:val="0"/>
              <w:spacing w:after="0" w:line="240" w:lineRule="auto"/>
              <w:jc w:val="center"/>
              <w:rPr>
                <w:rFonts w:ascii="Times New Roman" w:hAnsi="Times New Roman"/>
                <w:sz w:val="28"/>
                <w:szCs w:val="28"/>
                <w:lang w:val="uk-UA" w:eastAsia="zh-CN"/>
              </w:rPr>
            </w:pPr>
            <w:r>
              <w:rPr>
                <w:rFonts w:ascii="Times New Roman" w:hAnsi="Times New Roman"/>
                <w:color w:val="000000"/>
                <w:sz w:val="28"/>
                <w:szCs w:val="28"/>
                <w:lang w:val="uk-UA" w:eastAsia="zh-CN"/>
              </w:rPr>
              <w:t>%</w:t>
            </w:r>
          </w:p>
        </w:tc>
        <w:tc>
          <w:tcPr>
            <w:tcW w:w="1185" w:type="dxa"/>
            <w:tcBorders>
              <w:left w:val="single" w:sz="2" w:space="0" w:color="000000"/>
              <w:bottom w:val="single" w:sz="2" w:space="0" w:color="000000"/>
            </w:tcBorders>
            <w:vAlign w:val="center"/>
          </w:tcPr>
          <w:p w14:paraId="26173EF5"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89</w:t>
            </w:r>
          </w:p>
        </w:tc>
        <w:tc>
          <w:tcPr>
            <w:tcW w:w="1080" w:type="dxa"/>
            <w:tcBorders>
              <w:left w:val="single" w:sz="2" w:space="0" w:color="000000"/>
              <w:bottom w:val="single" w:sz="2" w:space="0" w:color="000000"/>
            </w:tcBorders>
            <w:vAlign w:val="center"/>
          </w:tcPr>
          <w:p w14:paraId="64D70934"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90</w:t>
            </w:r>
          </w:p>
        </w:tc>
        <w:tc>
          <w:tcPr>
            <w:tcW w:w="1305" w:type="dxa"/>
            <w:tcBorders>
              <w:left w:val="single" w:sz="2" w:space="0" w:color="000000"/>
              <w:bottom w:val="single" w:sz="2" w:space="0" w:color="000000"/>
              <w:right w:val="single" w:sz="2" w:space="0" w:color="000000"/>
            </w:tcBorders>
            <w:vAlign w:val="center"/>
          </w:tcPr>
          <w:p w14:paraId="288905AE" w14:textId="77777777" w:rsidR="0017620F" w:rsidRDefault="00000000">
            <w:pPr>
              <w:pStyle w:val="af7"/>
              <w:widowControl w:val="0"/>
              <w:spacing w:after="0" w:line="240" w:lineRule="auto"/>
              <w:jc w:val="center"/>
              <w:rPr>
                <w:rFonts w:ascii="Times New Roman" w:hAnsi="Times New Roman"/>
                <w:sz w:val="24"/>
                <w:lang w:val="uk-UA" w:eastAsia="zh-CN"/>
              </w:rPr>
            </w:pPr>
            <w:r>
              <w:rPr>
                <w:rFonts w:ascii="Times New Roman" w:hAnsi="Times New Roman"/>
                <w:sz w:val="24"/>
                <w:lang w:val="uk-UA" w:eastAsia="zh-CN"/>
              </w:rPr>
              <w:t>92</w:t>
            </w:r>
          </w:p>
        </w:tc>
      </w:tr>
      <w:tr w:rsidR="0017620F" w14:paraId="1EEF5345" w14:textId="77777777">
        <w:trPr>
          <w:trHeight w:val="609"/>
        </w:trPr>
        <w:tc>
          <w:tcPr>
            <w:tcW w:w="4590" w:type="dxa"/>
            <w:tcBorders>
              <w:left w:val="single" w:sz="2" w:space="0" w:color="000000"/>
              <w:bottom w:val="single" w:sz="2" w:space="0" w:color="000000"/>
            </w:tcBorders>
            <w:vAlign w:val="center"/>
          </w:tcPr>
          <w:p w14:paraId="740068EA"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Кількість абонентів (особових рахунків)</w:t>
            </w:r>
          </w:p>
        </w:tc>
        <w:tc>
          <w:tcPr>
            <w:tcW w:w="1200" w:type="dxa"/>
            <w:tcBorders>
              <w:left w:val="single" w:sz="2" w:space="0" w:color="000000"/>
              <w:bottom w:val="single" w:sz="2" w:space="0" w:color="000000"/>
            </w:tcBorders>
            <w:vAlign w:val="center"/>
          </w:tcPr>
          <w:p w14:paraId="4EC5BFE2" w14:textId="77777777" w:rsidR="0017620F" w:rsidRDefault="00000000">
            <w:pPr>
              <w:pStyle w:val="af7"/>
              <w:widowControl w:val="0"/>
              <w:spacing w:after="0" w:line="240" w:lineRule="auto"/>
              <w:jc w:val="center"/>
              <w:rPr>
                <w:rFonts w:ascii="Times New Roman" w:hAnsi="Times New Roman"/>
                <w:color w:val="000000"/>
                <w:sz w:val="28"/>
                <w:szCs w:val="28"/>
                <w:lang w:val="uk-UA" w:eastAsia="zh-CN"/>
              </w:rPr>
            </w:pPr>
            <w:proofErr w:type="spellStart"/>
            <w:r>
              <w:rPr>
                <w:rFonts w:ascii="Times New Roman" w:hAnsi="Times New Roman"/>
                <w:color w:val="000000"/>
                <w:sz w:val="28"/>
                <w:szCs w:val="28"/>
                <w:lang w:val="uk-UA" w:eastAsia="zh-CN"/>
              </w:rPr>
              <w:t>чол</w:t>
            </w:r>
            <w:proofErr w:type="spellEnd"/>
            <w:r>
              <w:rPr>
                <w:rFonts w:ascii="Times New Roman" w:hAnsi="Times New Roman"/>
                <w:color w:val="000000"/>
                <w:sz w:val="28"/>
                <w:szCs w:val="28"/>
                <w:lang w:val="uk-UA" w:eastAsia="zh-CN"/>
              </w:rPr>
              <w:t>.</w:t>
            </w:r>
          </w:p>
        </w:tc>
        <w:tc>
          <w:tcPr>
            <w:tcW w:w="1185" w:type="dxa"/>
            <w:tcBorders>
              <w:left w:val="single" w:sz="2" w:space="0" w:color="000000"/>
              <w:bottom w:val="single" w:sz="2" w:space="0" w:color="000000"/>
            </w:tcBorders>
            <w:vAlign w:val="center"/>
          </w:tcPr>
          <w:p w14:paraId="135F2A14"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82 810</w:t>
            </w:r>
          </w:p>
        </w:tc>
        <w:tc>
          <w:tcPr>
            <w:tcW w:w="1080" w:type="dxa"/>
            <w:tcBorders>
              <w:left w:val="single" w:sz="2" w:space="0" w:color="000000"/>
              <w:bottom w:val="single" w:sz="2" w:space="0" w:color="000000"/>
            </w:tcBorders>
            <w:vAlign w:val="center"/>
          </w:tcPr>
          <w:p w14:paraId="44DE0719"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88 489</w:t>
            </w:r>
          </w:p>
        </w:tc>
        <w:tc>
          <w:tcPr>
            <w:tcW w:w="1305" w:type="dxa"/>
            <w:tcBorders>
              <w:left w:val="single" w:sz="2" w:space="0" w:color="000000"/>
              <w:bottom w:val="single" w:sz="2" w:space="0" w:color="000000"/>
              <w:right w:val="single" w:sz="2" w:space="0" w:color="000000"/>
            </w:tcBorders>
            <w:vAlign w:val="center"/>
          </w:tcPr>
          <w:p w14:paraId="14C32F03" w14:textId="77777777" w:rsidR="0017620F" w:rsidRDefault="00000000">
            <w:pPr>
              <w:pStyle w:val="af7"/>
              <w:widowControl w:val="0"/>
              <w:spacing w:after="0" w:line="240" w:lineRule="auto"/>
              <w:jc w:val="center"/>
              <w:rPr>
                <w:rFonts w:ascii="Times New Roman" w:hAnsi="Times New Roman"/>
                <w:sz w:val="24"/>
                <w:lang w:val="uk-UA" w:eastAsia="zh-CN"/>
              </w:rPr>
            </w:pPr>
            <w:r>
              <w:rPr>
                <w:rFonts w:ascii="Times New Roman" w:hAnsi="Times New Roman"/>
                <w:sz w:val="24"/>
                <w:lang w:val="uk-UA" w:eastAsia="zh-CN"/>
              </w:rPr>
              <w:t>90 038</w:t>
            </w:r>
          </w:p>
        </w:tc>
      </w:tr>
      <w:tr w:rsidR="0017620F" w14:paraId="6D1DAC20" w14:textId="77777777">
        <w:trPr>
          <w:trHeight w:val="609"/>
        </w:trPr>
        <w:tc>
          <w:tcPr>
            <w:tcW w:w="4590" w:type="dxa"/>
            <w:tcBorders>
              <w:left w:val="single" w:sz="2" w:space="0" w:color="000000"/>
              <w:bottom w:val="single" w:sz="2" w:space="0" w:color="000000"/>
            </w:tcBorders>
            <w:vAlign w:val="center"/>
          </w:tcPr>
          <w:p w14:paraId="5E5A34FD" w14:textId="77777777" w:rsidR="0017620F" w:rsidRDefault="00000000">
            <w:pPr>
              <w:pStyle w:val="af7"/>
              <w:widowControl w:val="0"/>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Кількість проживаючих</w:t>
            </w:r>
          </w:p>
        </w:tc>
        <w:tc>
          <w:tcPr>
            <w:tcW w:w="1200" w:type="dxa"/>
            <w:tcBorders>
              <w:left w:val="single" w:sz="2" w:space="0" w:color="000000"/>
              <w:bottom w:val="single" w:sz="2" w:space="0" w:color="000000"/>
            </w:tcBorders>
            <w:vAlign w:val="center"/>
          </w:tcPr>
          <w:p w14:paraId="45AFAD38" w14:textId="77777777" w:rsidR="0017620F" w:rsidRDefault="00000000">
            <w:pPr>
              <w:pStyle w:val="af7"/>
              <w:widowControl w:val="0"/>
              <w:spacing w:after="0" w:line="240" w:lineRule="auto"/>
              <w:jc w:val="center"/>
              <w:rPr>
                <w:rFonts w:ascii="Times New Roman" w:hAnsi="Times New Roman"/>
                <w:color w:val="000000"/>
                <w:sz w:val="28"/>
                <w:szCs w:val="28"/>
                <w:lang w:val="uk-UA" w:eastAsia="zh-CN"/>
              </w:rPr>
            </w:pPr>
            <w:proofErr w:type="spellStart"/>
            <w:r>
              <w:rPr>
                <w:rFonts w:ascii="Times New Roman" w:hAnsi="Times New Roman"/>
                <w:color w:val="000000"/>
                <w:sz w:val="28"/>
                <w:szCs w:val="28"/>
                <w:lang w:val="uk-UA" w:eastAsia="zh-CN"/>
              </w:rPr>
              <w:t>чол</w:t>
            </w:r>
            <w:proofErr w:type="spellEnd"/>
            <w:r>
              <w:rPr>
                <w:rFonts w:ascii="Times New Roman" w:hAnsi="Times New Roman"/>
                <w:color w:val="000000"/>
                <w:sz w:val="28"/>
                <w:szCs w:val="28"/>
                <w:lang w:val="uk-UA" w:eastAsia="zh-CN"/>
              </w:rPr>
              <w:t>.</w:t>
            </w:r>
          </w:p>
        </w:tc>
        <w:tc>
          <w:tcPr>
            <w:tcW w:w="1185" w:type="dxa"/>
            <w:tcBorders>
              <w:left w:val="single" w:sz="2" w:space="0" w:color="000000"/>
              <w:bottom w:val="single" w:sz="2" w:space="0" w:color="000000"/>
            </w:tcBorders>
            <w:vAlign w:val="center"/>
          </w:tcPr>
          <w:p w14:paraId="7F9518FA"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198 851</w:t>
            </w:r>
          </w:p>
        </w:tc>
        <w:tc>
          <w:tcPr>
            <w:tcW w:w="1080" w:type="dxa"/>
            <w:tcBorders>
              <w:left w:val="single" w:sz="2" w:space="0" w:color="000000"/>
              <w:bottom w:val="single" w:sz="2" w:space="0" w:color="000000"/>
            </w:tcBorders>
            <w:vAlign w:val="center"/>
          </w:tcPr>
          <w:p w14:paraId="15EC34A5" w14:textId="77777777" w:rsidR="0017620F" w:rsidRDefault="00000000">
            <w:pPr>
              <w:pStyle w:val="af7"/>
              <w:widowControl w:val="0"/>
              <w:spacing w:after="0" w:line="240" w:lineRule="auto"/>
              <w:jc w:val="center"/>
              <w:rPr>
                <w:rFonts w:ascii="Times New Roman" w:hAnsi="Times New Roman"/>
                <w:color w:val="000000"/>
                <w:sz w:val="24"/>
                <w:lang w:val="uk-UA" w:eastAsia="zh-CN"/>
              </w:rPr>
            </w:pPr>
            <w:r>
              <w:rPr>
                <w:rFonts w:ascii="Times New Roman" w:hAnsi="Times New Roman"/>
                <w:color w:val="000000"/>
                <w:sz w:val="24"/>
                <w:lang w:val="uk-UA" w:eastAsia="zh-CN"/>
              </w:rPr>
              <w:t>210 207</w:t>
            </w:r>
          </w:p>
        </w:tc>
        <w:tc>
          <w:tcPr>
            <w:tcW w:w="1305" w:type="dxa"/>
            <w:tcBorders>
              <w:left w:val="single" w:sz="2" w:space="0" w:color="000000"/>
              <w:bottom w:val="single" w:sz="2" w:space="0" w:color="000000"/>
              <w:right w:val="single" w:sz="2" w:space="0" w:color="000000"/>
            </w:tcBorders>
            <w:vAlign w:val="center"/>
          </w:tcPr>
          <w:p w14:paraId="21AC614E" w14:textId="77777777" w:rsidR="0017620F" w:rsidRDefault="00000000">
            <w:pPr>
              <w:pStyle w:val="af7"/>
              <w:widowControl w:val="0"/>
              <w:spacing w:after="0" w:line="240" w:lineRule="auto"/>
              <w:jc w:val="center"/>
              <w:rPr>
                <w:rFonts w:ascii="Times New Roman" w:hAnsi="Times New Roman"/>
                <w:sz w:val="24"/>
                <w:lang w:val="uk-UA" w:eastAsia="zh-CN"/>
              </w:rPr>
            </w:pPr>
            <w:r>
              <w:rPr>
                <w:rFonts w:ascii="Times New Roman" w:hAnsi="Times New Roman"/>
                <w:sz w:val="24"/>
                <w:lang w:val="uk-UA" w:eastAsia="zh-CN"/>
              </w:rPr>
              <w:t>213 000</w:t>
            </w:r>
          </w:p>
        </w:tc>
      </w:tr>
    </w:tbl>
    <w:p w14:paraId="266129B5" w14:textId="77777777" w:rsidR="0017620F" w:rsidRDefault="0017620F">
      <w:pPr>
        <w:spacing w:after="0" w:line="240" w:lineRule="auto"/>
        <w:jc w:val="both"/>
        <w:rPr>
          <w:rFonts w:ascii="Times New Roman" w:hAnsi="Times New Roman"/>
          <w:lang w:val="uk-UA"/>
        </w:rPr>
      </w:pPr>
    </w:p>
    <w:sectPr w:rsidR="0017620F">
      <w:headerReference w:type="default" r:id="rId8"/>
      <w:pgSz w:w="11906" w:h="16838"/>
      <w:pgMar w:top="567" w:right="567" w:bottom="1418" w:left="1985" w:header="0"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21F0" w14:textId="77777777" w:rsidR="008E63CD" w:rsidRDefault="008E63CD">
      <w:pPr>
        <w:spacing w:after="0" w:line="240" w:lineRule="auto"/>
      </w:pPr>
      <w:r>
        <w:separator/>
      </w:r>
    </w:p>
  </w:endnote>
  <w:endnote w:type="continuationSeparator" w:id="0">
    <w:p w14:paraId="1407D679" w14:textId="77777777" w:rsidR="008E63CD" w:rsidRDefault="008E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59EE" w14:textId="77777777" w:rsidR="008E63CD" w:rsidRDefault="008E63CD">
      <w:pPr>
        <w:spacing w:after="0" w:line="240" w:lineRule="auto"/>
      </w:pPr>
      <w:r>
        <w:separator/>
      </w:r>
    </w:p>
  </w:footnote>
  <w:footnote w:type="continuationSeparator" w:id="0">
    <w:p w14:paraId="40C7F361" w14:textId="77777777" w:rsidR="008E63CD" w:rsidRDefault="008E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9DD2" w14:textId="77777777" w:rsidR="0017620F" w:rsidRDefault="0017620F">
    <w:pPr>
      <w:pStyle w:val="ac"/>
      <w:jc w:val="center"/>
      <w:rPr>
        <w:rFonts w:ascii="Times New Roman" w:hAnsi="Times New Roman"/>
      </w:rPr>
    </w:pPr>
  </w:p>
  <w:p w14:paraId="6FE246AC" w14:textId="77777777" w:rsidR="0017620F" w:rsidRDefault="00000000">
    <w:pPr>
      <w:pStyle w:val="ac"/>
      <w:jc w:val="center"/>
      <w:rPr>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620F"/>
    <w:rsid w:val="0017620F"/>
    <w:rsid w:val="00323B80"/>
    <w:rsid w:val="00484703"/>
    <w:rsid w:val="004D4EC1"/>
    <w:rsid w:val="00635F8A"/>
    <w:rsid w:val="0064129F"/>
    <w:rsid w:val="00881FED"/>
    <w:rsid w:val="008E63CD"/>
    <w:rsid w:val="00932589"/>
    <w:rsid w:val="00B9332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BB9CB"/>
  <w15:docId w15:val="{5C16E051-1A63-4AA7-AF85-897C5F7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qFormat/>
    <w:rPr>
      <w:rFonts w:ascii="Times New Roman" w:hAnsi="Times New Roman"/>
      <w:sz w:val="26"/>
    </w:rPr>
  </w:style>
  <w:style w:type="character" w:customStyle="1" w:styleId="a3">
    <w:name w:val="Текст выноски Знак"/>
    <w:uiPriority w:val="99"/>
    <w:semiHidden/>
    <w:qFormat/>
    <w:rPr>
      <w:rFonts w:ascii="Segoe UI" w:hAnsi="Segoe UI"/>
      <w:sz w:val="18"/>
    </w:rPr>
  </w:style>
  <w:style w:type="character" w:customStyle="1" w:styleId="a4">
    <w:name w:val="Основной текст Знак"/>
    <w:uiPriority w:val="99"/>
    <w:semiHidden/>
    <w:qFormat/>
    <w:rsid w:val="004777CB"/>
    <w:rPr>
      <w:lang w:val="ru-RU" w:eastAsia="en-US"/>
    </w:rPr>
  </w:style>
  <w:style w:type="character" w:customStyle="1" w:styleId="a5">
    <w:name w:val="Текст у виносці Знак"/>
    <w:uiPriority w:val="99"/>
    <w:semiHidden/>
    <w:qFormat/>
    <w:rsid w:val="004777CB"/>
    <w:rPr>
      <w:rFonts w:ascii="Times New Roman" w:hAnsi="Times New Roman"/>
      <w:sz w:val="2"/>
      <w:lang w:val="ru-RU" w:eastAsia="en-US"/>
    </w:rPr>
  </w:style>
  <w:style w:type="character" w:customStyle="1" w:styleId="a6">
    <w:name w:val="Верхний колонтитул Знак"/>
    <w:uiPriority w:val="99"/>
    <w:qFormat/>
    <w:rsid w:val="004777CB"/>
    <w:rPr>
      <w:lang w:val="ru-RU" w:eastAsia="en-US"/>
    </w:rPr>
  </w:style>
  <w:style w:type="character" w:customStyle="1" w:styleId="a7">
    <w:name w:val="Нижний колонтитул Знак"/>
    <w:uiPriority w:val="99"/>
    <w:qFormat/>
    <w:rsid w:val="004777CB"/>
    <w:rPr>
      <w:lang w:val="ru-RU" w:eastAsia="en-US"/>
    </w:rPr>
  </w:style>
  <w:style w:type="character" w:customStyle="1" w:styleId="a8">
    <w:name w:val="Основной текст_"/>
    <w:basedOn w:val="a0"/>
    <w:uiPriority w:val="99"/>
    <w:qFormat/>
    <w:rsid w:val="004777CB"/>
    <w:rPr>
      <w:rFonts w:cs="Times New Roman"/>
      <w:sz w:val="17"/>
      <w:szCs w:val="17"/>
    </w:rPr>
  </w:style>
  <w:style w:type="character" w:customStyle="1" w:styleId="rvts0">
    <w:name w:val="rvts0"/>
    <w:basedOn w:val="a0"/>
    <w:uiPriority w:val="99"/>
    <w:qFormat/>
    <w:rsid w:val="004777CB"/>
    <w:rPr>
      <w:rFonts w:cs="Times New Roman"/>
    </w:rPr>
  </w:style>
  <w:style w:type="character" w:customStyle="1" w:styleId="a9">
    <w:name w:val="Основний текст Знак"/>
    <w:basedOn w:val="a0"/>
    <w:link w:val="aa"/>
    <w:uiPriority w:val="99"/>
    <w:semiHidden/>
    <w:qFormat/>
    <w:locked/>
    <w:rPr>
      <w:rFonts w:cs="Times New Roman"/>
      <w:lang w:val="ru-RU" w:eastAsia="en-US"/>
    </w:rPr>
  </w:style>
  <w:style w:type="character" w:customStyle="1" w:styleId="BalloonTextChar">
    <w:name w:val="Balloon Text Char"/>
    <w:basedOn w:val="a0"/>
    <w:uiPriority w:val="99"/>
    <w:semiHidden/>
    <w:qFormat/>
    <w:locked/>
    <w:rPr>
      <w:rFonts w:ascii="Times New Roman" w:hAnsi="Times New Roman" w:cs="Times New Roman"/>
      <w:sz w:val="2"/>
      <w:lang w:val="ru-RU" w:eastAsia="en-US"/>
    </w:rPr>
  </w:style>
  <w:style w:type="character" w:customStyle="1" w:styleId="ab">
    <w:name w:val="Верхній колонтитул Знак"/>
    <w:basedOn w:val="a0"/>
    <w:link w:val="ac"/>
    <w:uiPriority w:val="99"/>
    <w:semiHidden/>
    <w:qFormat/>
    <w:locked/>
    <w:rPr>
      <w:rFonts w:cs="Times New Roman"/>
      <w:lang w:val="ru-RU" w:eastAsia="en-US"/>
    </w:rPr>
  </w:style>
  <w:style w:type="character" w:customStyle="1" w:styleId="ad">
    <w:name w:val="Нижній колонтитул Знак"/>
    <w:basedOn w:val="a0"/>
    <w:link w:val="ae"/>
    <w:uiPriority w:val="99"/>
    <w:semiHidden/>
    <w:qFormat/>
    <w:locked/>
    <w:rPr>
      <w:rFonts w:cs="Times New Roman"/>
      <w:lang w:val="ru-RU" w:eastAsia="en-US"/>
    </w:rPr>
  </w:style>
  <w:style w:type="character" w:customStyle="1" w:styleId="1">
    <w:name w:val="Гіперпосилання1"/>
    <w:uiPriority w:val="99"/>
    <w:rsid w:val="004777CB"/>
    <w:rPr>
      <w:color w:val="000080"/>
      <w:u w:val="single"/>
    </w:rPr>
  </w:style>
  <w:style w:type="character" w:customStyle="1" w:styleId="BodyTextChar1">
    <w:name w:val="Body Text Char1"/>
    <w:basedOn w:val="a0"/>
    <w:uiPriority w:val="99"/>
    <w:semiHidden/>
    <w:qFormat/>
    <w:rsid w:val="00B67855"/>
    <w:rPr>
      <w:rFonts w:cs="Times New Roman"/>
      <w:lang w:val="ru-RU" w:eastAsia="en-US"/>
    </w:rPr>
  </w:style>
  <w:style w:type="character" w:customStyle="1" w:styleId="10">
    <w:name w:val="Текст у виносці Знак1"/>
    <w:basedOn w:val="a0"/>
    <w:link w:val="af"/>
    <w:uiPriority w:val="99"/>
    <w:semiHidden/>
    <w:qFormat/>
    <w:rsid w:val="00B67855"/>
    <w:rPr>
      <w:rFonts w:ascii="Times New Roman" w:hAnsi="Times New Roman" w:cs="Times New Roman"/>
      <w:sz w:val="0"/>
      <w:szCs w:val="0"/>
      <w:lang w:val="ru-RU" w:eastAsia="en-US"/>
    </w:rPr>
  </w:style>
  <w:style w:type="character" w:customStyle="1" w:styleId="HeaderChar1">
    <w:name w:val="Header Char1"/>
    <w:basedOn w:val="a0"/>
    <w:uiPriority w:val="99"/>
    <w:semiHidden/>
    <w:qFormat/>
    <w:rsid w:val="00B67855"/>
    <w:rPr>
      <w:rFonts w:cs="Times New Roman"/>
      <w:lang w:val="ru-RU" w:eastAsia="en-US"/>
    </w:rPr>
  </w:style>
  <w:style w:type="character" w:customStyle="1" w:styleId="FooterChar1">
    <w:name w:val="Footer Char1"/>
    <w:basedOn w:val="a0"/>
    <w:uiPriority w:val="99"/>
    <w:semiHidden/>
    <w:qFormat/>
    <w:rsid w:val="00B67855"/>
    <w:rPr>
      <w:rFonts w:cs="Times New Roman"/>
      <w:lang w:val="ru-RU" w:eastAsia="en-US"/>
    </w:rPr>
  </w:style>
  <w:style w:type="paragraph" w:customStyle="1" w:styleId="af0">
    <w:name w:val="Заголовок"/>
    <w:basedOn w:val="a"/>
    <w:next w:val="aa"/>
    <w:uiPriority w:val="99"/>
    <w:qFormat/>
    <w:rsid w:val="004777CB"/>
    <w:pPr>
      <w:keepNext/>
      <w:spacing w:before="240" w:after="120"/>
    </w:pPr>
    <w:rPr>
      <w:rFonts w:ascii="Liberation Sans" w:eastAsia="Microsoft YaHei" w:hAnsi="Liberation Sans" w:cs="Arial"/>
      <w:sz w:val="28"/>
      <w:szCs w:val="28"/>
    </w:rPr>
  </w:style>
  <w:style w:type="paragraph" w:styleId="aa">
    <w:name w:val="Body Text"/>
    <w:basedOn w:val="a"/>
    <w:link w:val="a9"/>
    <w:uiPriority w:val="99"/>
    <w:rsid w:val="004777CB"/>
    <w:pPr>
      <w:spacing w:after="140" w:line="276" w:lineRule="auto"/>
    </w:pPr>
  </w:style>
  <w:style w:type="paragraph" w:styleId="af1">
    <w:name w:val="List"/>
    <w:basedOn w:val="aa"/>
    <w:uiPriority w:val="99"/>
    <w:rsid w:val="004777CB"/>
    <w:rPr>
      <w:rFonts w:cs="Arial"/>
    </w:rPr>
  </w:style>
  <w:style w:type="paragraph" w:styleId="af2">
    <w:name w:val="caption"/>
    <w:basedOn w:val="a"/>
    <w:uiPriority w:val="99"/>
    <w:qFormat/>
    <w:rsid w:val="004777CB"/>
    <w:pPr>
      <w:suppressLineNumbers/>
      <w:spacing w:before="120" w:after="120"/>
    </w:pPr>
    <w:rPr>
      <w:rFonts w:cs="Arial"/>
      <w:i/>
      <w:iCs/>
      <w:sz w:val="24"/>
      <w:szCs w:val="24"/>
    </w:rPr>
  </w:style>
  <w:style w:type="paragraph" w:customStyle="1" w:styleId="af3">
    <w:name w:val="Покажчик"/>
    <w:basedOn w:val="a"/>
    <w:uiPriority w:val="99"/>
    <w:qFormat/>
    <w:rsid w:val="004777CB"/>
    <w:pPr>
      <w:suppressLineNumbers/>
    </w:pPr>
    <w:rPr>
      <w:rFonts w:cs="Arial"/>
    </w:rPr>
  </w:style>
  <w:style w:type="paragraph" w:styleId="af4">
    <w:name w:val="No Spacing"/>
    <w:uiPriority w:val="99"/>
    <w:qFormat/>
    <w:rPr>
      <w:rFonts w:cs="Times New Roman"/>
      <w:lang w:val="ru-RU" w:eastAsia="en-US"/>
    </w:rPr>
  </w:style>
  <w:style w:type="paragraph" w:styleId="af5">
    <w:name w:val="List Paragraph"/>
    <w:basedOn w:val="a"/>
    <w:uiPriority w:val="99"/>
    <w:qFormat/>
    <w:pPr>
      <w:ind w:left="720"/>
      <w:contextualSpacing/>
    </w:pPr>
  </w:style>
  <w:style w:type="paragraph" w:styleId="af">
    <w:name w:val="Balloon Text"/>
    <w:basedOn w:val="a"/>
    <w:link w:val="10"/>
    <w:uiPriority w:val="99"/>
    <w:semiHidden/>
    <w:qFormat/>
    <w:pPr>
      <w:spacing w:after="0" w:line="240" w:lineRule="auto"/>
    </w:pPr>
    <w:rPr>
      <w:rFonts w:ascii="Segoe UI" w:hAnsi="Segoe UI" w:cs="Segoe UI"/>
      <w:sz w:val="18"/>
      <w:szCs w:val="18"/>
    </w:rPr>
  </w:style>
  <w:style w:type="paragraph" w:customStyle="1" w:styleId="af6">
    <w:name w:val="Верхній і нижній колонтитули"/>
    <w:basedOn w:val="a"/>
    <w:uiPriority w:val="99"/>
    <w:qFormat/>
  </w:style>
  <w:style w:type="paragraph" w:styleId="ac">
    <w:name w:val="header"/>
    <w:basedOn w:val="a"/>
    <w:link w:val="ab"/>
    <w:uiPriority w:val="99"/>
    <w:rsid w:val="004777CB"/>
    <w:pPr>
      <w:tabs>
        <w:tab w:val="center" w:pos="4986"/>
        <w:tab w:val="right" w:pos="9973"/>
      </w:tabs>
    </w:pPr>
  </w:style>
  <w:style w:type="paragraph" w:styleId="ae">
    <w:name w:val="footer"/>
    <w:basedOn w:val="a"/>
    <w:link w:val="ad"/>
    <w:uiPriority w:val="99"/>
    <w:rsid w:val="004777CB"/>
    <w:pPr>
      <w:tabs>
        <w:tab w:val="center" w:pos="4986"/>
        <w:tab w:val="right" w:pos="9973"/>
      </w:tabs>
    </w:pPr>
  </w:style>
  <w:style w:type="paragraph" w:customStyle="1" w:styleId="11">
    <w:name w:val="Основной текст1"/>
    <w:basedOn w:val="a"/>
    <w:uiPriority w:val="99"/>
    <w:qFormat/>
    <w:rsid w:val="004777CB"/>
    <w:pPr>
      <w:widowControl w:val="0"/>
      <w:suppressAutoHyphens w:val="0"/>
      <w:spacing w:after="100" w:line="290" w:lineRule="auto"/>
      <w:ind w:firstLine="400"/>
    </w:pPr>
    <w:rPr>
      <w:rFonts w:cs="Calibri"/>
      <w:sz w:val="17"/>
      <w:szCs w:val="17"/>
      <w:lang w:val="uk-UA" w:eastAsia="uk-UA"/>
    </w:rPr>
  </w:style>
  <w:style w:type="paragraph" w:customStyle="1" w:styleId="af7">
    <w:name w:val="Вміст таблиці"/>
    <w:basedOn w:val="a"/>
    <w:uiPriority w:val="99"/>
    <w:qFormat/>
    <w:rsid w:val="004777C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utskrada.gov.ua/pages/publichnyi-dohov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8892</Words>
  <Characters>5069</Characters>
  <Application>Microsoft Office Word</Application>
  <DocSecurity>0</DocSecurity>
  <Lines>42</Lines>
  <Paragraphs>27</Paragraphs>
  <ScaleCrop>false</ScaleCrop>
  <Company>SPecialiST RePack</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Frime</dc:creator>
  <dc:description/>
  <cp:lastModifiedBy>Наталія Литвинчук</cp:lastModifiedBy>
  <cp:revision>26</cp:revision>
  <cp:lastPrinted>2024-01-08T07:00:00Z</cp:lastPrinted>
  <dcterms:created xsi:type="dcterms:W3CDTF">2024-01-09T13:07:00Z</dcterms:created>
  <dcterms:modified xsi:type="dcterms:W3CDTF">2024-01-12T13:53:00Z</dcterms:modified>
  <dc:language>uk-UA</dc:language>
</cp:coreProperties>
</file>