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869E" w14:textId="77777777" w:rsidR="00812379" w:rsidRDefault="00000000">
      <w:pPr>
        <w:spacing w:after="0" w:line="240" w:lineRule="auto"/>
        <w:ind w:left="5103" w:right="-98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Додаток 1</w:t>
      </w:r>
    </w:p>
    <w:p w14:paraId="1B091E3D" w14:textId="77777777" w:rsidR="00812379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рішення виконавчого комітету</w:t>
      </w:r>
    </w:p>
    <w:p w14:paraId="47D9BE89" w14:textId="77777777" w:rsidR="00812379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</w:p>
    <w:p w14:paraId="076F6657" w14:textId="77777777" w:rsidR="00812379" w:rsidRDefault="0000000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_____________ № ____________</w:t>
      </w:r>
    </w:p>
    <w:p w14:paraId="57B5BF8B" w14:textId="77777777" w:rsidR="00812379" w:rsidRDefault="00812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2820A37" w14:textId="77777777" w:rsidR="00812379" w:rsidRDefault="00812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1CECE34" w14:textId="77777777" w:rsidR="00812379" w:rsidRPr="00006D21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D21">
        <w:rPr>
          <w:rFonts w:ascii="Times New Roman" w:hAnsi="Times New Roman"/>
          <w:sz w:val="28"/>
          <w:szCs w:val="28"/>
        </w:rPr>
        <w:t>ЗАГАЛЬНІ ВКАЗІВКИ</w:t>
      </w:r>
    </w:p>
    <w:p w14:paraId="75C95BDB" w14:textId="77777777" w:rsidR="00812379" w:rsidRPr="00006D21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 w:rsidRPr="00006D21">
        <w:rPr>
          <w:rFonts w:ascii="Times New Roman" w:hAnsi="Times New Roman" w:cs="Times New Roman"/>
          <w:sz w:val="28"/>
          <w:szCs w:val="28"/>
          <w:lang w:val="uk-UA"/>
        </w:rPr>
        <w:t xml:space="preserve">до тарифів на теплову енергію, послуги з постачання теплової енергії </w:t>
      </w:r>
    </w:p>
    <w:p w14:paraId="48D5DEE4" w14:textId="77777777" w:rsidR="00812379" w:rsidRPr="00006D21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 w:rsidRPr="00006D21">
        <w:rPr>
          <w:rFonts w:ascii="Times New Roman" w:hAnsi="Times New Roman" w:cs="Times New Roman"/>
          <w:sz w:val="28"/>
          <w:szCs w:val="28"/>
          <w:lang w:val="uk-UA"/>
        </w:rPr>
        <w:t xml:space="preserve">та постачання гарячої води, що надаються державним комунальним </w:t>
      </w:r>
    </w:p>
    <w:p w14:paraId="4FD4A4D2" w14:textId="77777777" w:rsidR="00812379" w:rsidRPr="00006D21" w:rsidRDefault="00000000">
      <w:pPr>
        <w:spacing w:after="0" w:line="240" w:lineRule="auto"/>
        <w:ind w:left="-567" w:right="-284" w:firstLine="709"/>
        <w:jc w:val="center"/>
        <w:rPr>
          <w:rFonts w:ascii="Times New Roman" w:hAnsi="Times New Roman"/>
        </w:rPr>
      </w:pPr>
      <w:r w:rsidRPr="00006D21">
        <w:rPr>
          <w:rFonts w:ascii="Times New Roman" w:hAnsi="Times New Roman" w:cs="Times New Roman"/>
          <w:sz w:val="28"/>
          <w:szCs w:val="28"/>
          <w:lang w:val="uk-UA"/>
        </w:rPr>
        <w:t>підприємством «</w:t>
      </w:r>
      <w:proofErr w:type="spellStart"/>
      <w:r w:rsidRPr="00006D21"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 w:rsidRPr="00006D2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BC3FDE2" w14:textId="77777777" w:rsidR="00812379" w:rsidRPr="00006D21" w:rsidRDefault="00812379">
      <w:pPr>
        <w:spacing w:after="0" w:line="240" w:lineRule="auto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EF88AB" w14:textId="77777777" w:rsidR="00812379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Встановлені цим рішенням:</w:t>
      </w:r>
    </w:p>
    <w:p w14:paraId="385AB920" w14:textId="77777777" w:rsidR="00812379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теплову енергію застосовуються для нарахування споживачам плати за фактично спожиту теплову енергію, використану споживачем для потреб опалення, вентиляції приміщень (в т. ч. при визначенні кількості теплової енергії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загальнобудинкові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потреби, розрахунку теплових втрат від транзитних стояків при влаштуванні індивідуального опалення тощо):</w:t>
      </w:r>
    </w:p>
    <w:p w14:paraId="0B7CD286" w14:textId="023B6764" w:rsidR="00812379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умовно-змінна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 – вартість одиниці теплової енергії, визначена з розрахунку на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теплової енергії або відповідно до норми споживання, як грошовий вираз змінної частини планованих економічно обґрунтованих прямих витрат, що змінюються прямо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та сплачуються лише в опалювальний сезон</w:t>
      </w:r>
      <w:r w:rsidR="00006D21" w:rsidRPr="00454A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A5269C" w14:textId="42BF03D2" w:rsidR="00812379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умовно-постійна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 на послуги з постачання теплової енергії</w:t>
      </w:r>
      <w:r w:rsidR="00006D2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06D21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плата за одиницю теплового навантаження об’єктів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теплоспоживання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опалення (1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/год) </w:t>
      </w:r>
      <w:r w:rsidR="00006D2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грошовий вираз планованих економічно обґрунтованих витрат, крім тих, що віднесені до умовно-змінних витрат, що включаються до повної собівартості теплової енергії, є постійними і не змінюються прямо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зміні обсягу теплової енергії для надання послуг з постачання теплової енергії</w:t>
      </w:r>
      <w:bookmarkStart w:id="0" w:name="n1334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сплачується рівними частинами (щомісяця) протягом року незалежно від часу виникнення витрат.</w:t>
      </w:r>
    </w:p>
    <w:p w14:paraId="30C716E6" w14:textId="77777777" w:rsidR="00812379" w:rsidRDefault="00000000" w:rsidP="00006D2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тарифи на послугу з постачання теплової енергії застосовуються виключно для визначення вартості теплової енергії, для розрахунку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двоставкового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тарифу, обсягів теплової енергії, що використовується для підігріву гарячої води.</w:t>
      </w:r>
    </w:p>
    <w:p w14:paraId="60C6426E" w14:textId="77777777" w:rsidR="00812379" w:rsidRDefault="00000000" w:rsidP="00006D2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Тарифи на постачання гарячої води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одноставковими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застосовуються для розрахунку плати за фактично спожитий обсяг гарячої води згідно з показами засобів обліку або затвердженої органом місцевого самоврядування норми споживання (у разі відсутності засобу обліку) та включають в себе витрати теплової енергії на функціонування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внутрішньобудинкової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гарячого водопостачання.</w:t>
      </w:r>
    </w:p>
    <w:p w14:paraId="30EF5DBD" w14:textId="77777777" w:rsidR="00812379" w:rsidRDefault="00000000" w:rsidP="00006D2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Формування тарифів на виробництво, транспортування та постачання теплової енергії, постачання теплової енергії та постачання гарячої води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здійснюється для чотирьох категорій споживачів: населення,  бюджетні установи, релігійні організації, інші споживачі.</w:t>
      </w:r>
    </w:p>
    <w:p w14:paraId="69EBE516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 При розрахунку 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арифів на послугу з постачання теплової енергії плановий обсяг виробництва теплової енергії розраховано відповідно до Норм та вказівок по нормуванню витрат палива та теплової енергії на опалення житлових та громадських споруд, а також на господарсько-побутові потреби в Україні (КТМ 204 України 244-94), (далі – КТМ 204), даних налаштувань індивідуальних режимних карт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теплогенеруючого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устаткування та з урахуванням таких показників:</w:t>
      </w:r>
    </w:p>
    <w:p w14:paraId="19C07D7F" w14:textId="77777777" w:rsidR="00812379" w:rsidRPr="00AE2DD2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середня температура зовнішнього повітря в опалювальний період визначена на підставі даних Волинського обласного центру з </w:t>
      </w:r>
      <w:r w:rsidRPr="00AE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гідрометеорології про фактичну температуру за період 2019–2023 років та становить +2,52</w:t>
      </w:r>
      <w:r w:rsidRPr="00AE2DD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 w:rsidRPr="00AE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С;</w:t>
      </w:r>
    </w:p>
    <w:p w14:paraId="089B3853" w14:textId="16CC2919" w:rsidR="00812379" w:rsidRDefault="00000000" w:rsidP="00006D21">
      <w:pPr>
        <w:spacing w:after="0" w:line="240" w:lineRule="auto"/>
        <w:ind w:firstLine="567"/>
        <w:jc w:val="both"/>
      </w:pPr>
      <w:r w:rsidRPr="00AE2DD2">
        <w:rPr>
          <w:rFonts w:ascii="Times New Roman" w:eastAsia="Calibri" w:hAnsi="Times New Roman" w:cs="Times New Roman"/>
          <w:sz w:val="28"/>
          <w:szCs w:val="28"/>
          <w:lang w:val="uk-UA"/>
        </w:rPr>
        <w:t>тривалість опалювального періоду на рівні 173 діб з кількістю днів зі стійкою середньою добовою температурою зовнішнього повітря +8</w:t>
      </w:r>
      <w:r w:rsidRPr="00AE2DD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о</w:t>
      </w:r>
      <w:r w:rsidRPr="00AE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AE2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нижче  (враховуючи середню тривалість опалювальних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періодів за останні 5</w:t>
      </w:r>
      <w:r w:rsidR="000A5C3D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років).</w:t>
      </w:r>
    </w:p>
    <w:p w14:paraId="45CC6AB2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 Розрахунки за використану теплову енергію та гарячу воду згідно з показами засобів обліку здійснюються з моменту опломбування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з’єднувальних частин до вузла обліку представником підприємства.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опломбовані засоби обліку не можуть здійснювати облік, до експлуатації не допускаються.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Засоби вимірювальної техніки, які зберігаються та не використовуються протягом 24 місяців від дати виготовлення та первинної повірки, підлягають позачерговій повірці безпосередньо перед прийняттям на абонентський облік (уведенням в експлуатацію).</w:t>
      </w:r>
    </w:p>
    <w:p w14:paraId="4E25FE63" w14:textId="687FEF9A" w:rsidR="00812379" w:rsidRDefault="00000000" w:rsidP="00006D2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 Розподіл обсягів спожитих послуг з постачання теплової енергії та гарячої води здійснюється відповідно до Методики розподілу між споживачами обсягів спожитих у будівлі комунальних послуг, затвердженої наказом Міністерства регіонального розвитку, будівництва та житлово-комунального господарства від 22.11.2018 № 315</w:t>
      </w:r>
      <w:r w:rsid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змінами, внесеними згідно з наказами Міністерства розвитку громад та територій від 28.12.2021 № 358 та від 26.03.2022 №</w:t>
      </w:r>
      <w:r w:rsid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. Величина максимального теплового навантаження, яка підтверджена результатом незалежного енергетичного аудиту, враховується для розрахунку тарифу та для здійснення нарахувань.</w:t>
      </w:r>
    </w:p>
    <w:p w14:paraId="229CFFFF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 У разі самовільного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відсутності чи пошкодження пломб підприємства, порушення цілісності засобів обліку, втручання в їх роботу чи </w:t>
      </w:r>
      <w:r>
        <w:rPr>
          <w:rFonts w:ascii="Times New Roman" w:hAnsi="Times New Roman" w:cs="Times New Roman"/>
          <w:sz w:val="28"/>
          <w:szCs w:val="28"/>
          <w:lang w:val="uk-UA"/>
        </w:rPr>
        <w:t>виявлення факту зворотного руху облікового механізму лічильника гарячої води,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поживачам проводиться нарахування плати за послугу за затвердженими нормами споживання з моменту останнього контрольного зняття показань лічильника(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7C159FEB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9. Припинення нарахувань за послугу з постачання гарячої води можлива у разі тимчасового призупинення її надання шляхом опломбування працівниками підприємства запірних вентилів у приміщенні Споживача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умови справності запірної арматури та технічної можливості її опломбування після подання Споживачем письмової заяви та оплати послуг з опломбування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 Перевірка факту опломбування вводу(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гарячої води здійснюється не рідше одного разу на рік.</w:t>
      </w:r>
    </w:p>
    <w:p w14:paraId="64A4E2BF" w14:textId="08A38CA2" w:rsidR="00812379" w:rsidRPr="000A5C3D" w:rsidRDefault="00000000" w:rsidP="00006D21">
      <w:pPr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10. Відновлення надання послуги з постачання гарячої води проводиться шляхом зняття працівниками підприємства пломб із запірних вентилів у приміщенні Споживача за умови подання ним письмової заяви та оплати </w:t>
      </w:r>
      <w:r w:rsidRPr="000A5C3D">
        <w:rPr>
          <w:rFonts w:ascii="Times New Roman" w:hAnsi="Times New Roman" w:cs="Times New Roman"/>
          <w:sz w:val="28"/>
          <w:szCs w:val="28"/>
        </w:rPr>
        <w:t>по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A5C3D">
        <w:rPr>
          <w:rFonts w:ascii="Times New Roman" w:hAnsi="Times New Roman" w:cs="Times New Roman"/>
          <w:sz w:val="28"/>
          <w:szCs w:val="28"/>
        </w:rPr>
        <w:t xml:space="preserve">луг з </w:t>
      </w:r>
      <w:proofErr w:type="spellStart"/>
      <w:r w:rsidRPr="000A5C3D">
        <w:rPr>
          <w:rFonts w:ascii="Times New Roman" w:hAnsi="Times New Roman" w:cs="Times New Roman"/>
          <w:sz w:val="28"/>
          <w:szCs w:val="28"/>
        </w:rPr>
        <w:t>розпломбування</w:t>
      </w:r>
      <w:proofErr w:type="spellEnd"/>
      <w:r w:rsidRPr="000A5C3D">
        <w:rPr>
          <w:rFonts w:ascii="Times New Roman" w:hAnsi="Times New Roman" w:cs="Times New Roman"/>
          <w:sz w:val="28"/>
          <w:szCs w:val="28"/>
        </w:rPr>
        <w:t xml:space="preserve"> вводу(</w:t>
      </w:r>
      <w:proofErr w:type="spellStart"/>
      <w:r w:rsidRPr="000A5C3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0A5C3D">
        <w:rPr>
          <w:rFonts w:ascii="Times New Roman" w:hAnsi="Times New Roman" w:cs="Times New Roman"/>
          <w:sz w:val="28"/>
          <w:szCs w:val="28"/>
        </w:rPr>
        <w:t>).</w:t>
      </w:r>
    </w:p>
    <w:p w14:paraId="249B9447" w14:textId="77777777" w:rsidR="00812379" w:rsidRDefault="00000000" w:rsidP="00006D21">
      <w:pPr>
        <w:tabs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 У разі відмови споживача надати доступ в помешкання для перевірки факту опломбування вводів гарячої води до визначеного терміну або виявлення фактів самовільного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плата за послугу з постачання гарячої води нараховується за нормами споживання з моменту здійснення останнього задокументованого факту перевірки опломбування вводів.</w:t>
      </w:r>
    </w:p>
    <w:p w14:paraId="7F9427EE" w14:textId="286E65AE" w:rsidR="00812379" w:rsidRDefault="00000000" w:rsidP="00006D21">
      <w:pPr>
        <w:tabs>
          <w:tab w:val="left" w:pos="709"/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12. Якщо кількість зареєстрованих в квартирі рівна «0», у разі відсутності засобів обліку гарячої води, нарахування плати за послугу з постачання гарячої води проводиться по затвердженій нормі споживання на 1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особу та тарифу за 1 куб.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14:paraId="71CCC1E1" w14:textId="57A54128" w:rsidR="00812379" w:rsidRDefault="00000000" w:rsidP="00006D2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 Споживач зобов’язаний забезпечувати представнику ДКП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доступ до квартирних мереж для огляду транзитних трубопроводів у випадку індивідуального опалення. При виявленні факту самовільного зняття теплової ізоляції на транзитних трубопроводах, або невідповідності її товщини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даним, споживач оплачує за втрати теплової енергії неізольованими стояками.</w:t>
      </w:r>
    </w:p>
    <w:p w14:paraId="5736CEA5" w14:textId="0D25562C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14. У разі самовільного під'єднання до мереж (систем) централізованого опалення та/або постачання гарячої води, </w:t>
      </w: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проводиться по діючих тарифах та затвердженим нормативом, враховуючи кількість зареєстрованих, опалювальну площу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теплове навантаження, з моменту останнього обстеження, проведеного в приміщенні.</w:t>
      </w:r>
    </w:p>
    <w:p w14:paraId="6CA27E29" w14:textId="4FA24DFC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 Обслуговування (огляд, опломбування</w:t>
      </w:r>
      <w:r w:rsidR="00347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="003476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розпломбування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періодична повірка (у тому числі демонтаж, транспортування та монтаж), ремонт засобів вимірювальної техніки) та заміна вузлів розподільного обліку (квартирних лічильників) здійснюються за рахунок власників таких вузлів обліку.</w:t>
      </w:r>
    </w:p>
    <w:p w14:paraId="30CECC27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16. У разі невиконання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гарячої води у встановлені терміни (з врахуванням вимог постанови Кабінету Міністрів України від 07.04.2023 № 440):</w:t>
      </w:r>
    </w:p>
    <w:p w14:paraId="087AC552" w14:textId="59DAD381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нарахування плати за послугу з постачання гарячої води по особовому рахунку абонентів категорії «населення» проводити згідно із нормою споживання та відповідно до кількості осіб, зареєстрованих у квартирі з врахуванням періоду надання послуги;</w:t>
      </w:r>
    </w:p>
    <w:p w14:paraId="68F08366" w14:textId="47AD04BF" w:rsidR="00812379" w:rsidRDefault="00000000" w:rsidP="00006D2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нарахування плати за послугу з постачання гарячої води по особовому рахунку абонентів категорії «бюджетні установи», «інші споживачі»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«релігійні організації» проводиться відповідно до договірних умов за умови відсутності приладу(-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обліку.</w:t>
      </w:r>
    </w:p>
    <w:p w14:paraId="6DEDCB20" w14:textId="77777777" w:rsidR="00812379" w:rsidRDefault="00000000" w:rsidP="00006D2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проведення споживачем періодичної повірки лічильників гарячої води: </w:t>
      </w:r>
    </w:p>
    <w:p w14:paraId="56967A1E" w14:textId="59852679" w:rsidR="00812379" w:rsidRDefault="000A5C3D" w:rsidP="000A5C3D">
      <w:pPr>
        <w:pStyle w:val="af0"/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умови позитивних результатів такої повірки (документального підтвердження проходження повірки), проводиться перерахунок нарахувань за послугу з постачання гарячої води відповідно до показів повірених засобів розподільного обліку не більше ніж за 12 розрахункових періодів;</w:t>
      </w:r>
    </w:p>
    <w:p w14:paraId="65D7B586" w14:textId="5F6EE3A6" w:rsidR="00812379" w:rsidRPr="000A5C3D" w:rsidRDefault="00000000" w:rsidP="000A5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5C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умови </w:t>
      </w:r>
      <w:r w:rsidRPr="000A5C3D">
        <w:rPr>
          <w:rFonts w:ascii="Times New Roman" w:hAnsi="Times New Roman" w:cs="Times New Roman"/>
          <w:sz w:val="28"/>
          <w:szCs w:val="28"/>
          <w:lang w:val="uk-UA"/>
        </w:rPr>
        <w:t>негативних результатів такої повірки</w:t>
      </w:r>
      <w:r w:rsidR="00AE2DD2" w:rsidRPr="000A5C3D">
        <w:rPr>
          <w:rFonts w:ascii="Times New Roman" w:hAnsi="Times New Roman" w:cs="Times New Roman"/>
          <w:sz w:val="28"/>
          <w:szCs w:val="28"/>
          <w:lang w:val="uk-UA"/>
        </w:rPr>
        <w:t xml:space="preserve"> (встановлення факту несправності засобу обліку)</w:t>
      </w:r>
      <w:r w:rsidRPr="000A5C3D">
        <w:rPr>
          <w:rFonts w:ascii="Times New Roman" w:hAnsi="Times New Roman" w:cs="Times New Roman"/>
          <w:sz w:val="28"/>
          <w:szCs w:val="28"/>
          <w:lang w:val="uk-UA"/>
        </w:rPr>
        <w:t>, нарахування за послугу з постачання гарячої води проводиться</w:t>
      </w:r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нормами</w:t>
      </w:r>
      <w:r w:rsidRPr="000A5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споживання </w:t>
      </w:r>
      <w:r w:rsidRPr="000A5C3D">
        <w:rPr>
          <w:rFonts w:ascii="Times New Roman" w:hAnsi="Times New Roman" w:cs="Times New Roman"/>
          <w:sz w:val="28"/>
          <w:szCs w:val="28"/>
          <w:lang w:val="uk-UA"/>
        </w:rPr>
        <w:t>та відповідно до кількості осіб, зареєстрованих в квартирі,</w:t>
      </w:r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моменту прийняття в експлуатацію засобу(</w:t>
      </w:r>
      <w:proofErr w:type="spellStart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ремонту (з метрологічною повіркою) або прийняття на абонентський облік нового(</w:t>
      </w:r>
      <w:proofErr w:type="spellStart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Pr="000A5C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розподільного обліку.</w:t>
      </w:r>
    </w:p>
    <w:p w14:paraId="1F5BD3B6" w14:textId="55537AB3" w:rsidR="00812379" w:rsidRDefault="00000000" w:rsidP="00006D21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невиконання споживачами періодичної повірки засобу(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обліку теплової енергії до встановленого терміну, нарахування плати за послугу з постачання теплової енергії здійснюється по діючих тарифах та затверджених нормах споживання, враховуючи опалювальну площу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A5C3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теплове навантаження,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моменту прийняття в експлуатацію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обліку після проведення повірки або прийняття на абонентський облік нового(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 засобу(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обліку. </w:t>
      </w:r>
    </w:p>
    <w:p w14:paraId="20D5B487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 У разі виявлення самовільної добудови до приміщення споживача та ненадання доступу в приміщення для можливості проведення обстеження, підприємство проводить заміри по зовнішніх розмірах добудови та здійснює додаткове нарахування за послугу з постачання теплової енергії з початку опалювального сезону, з подальшим коригуванням плати після проведення обстеження і надання технічної документації на добудову.</w:t>
      </w:r>
    </w:p>
    <w:p w14:paraId="417B567D" w14:textId="77777777" w:rsidR="00812379" w:rsidRDefault="00000000" w:rsidP="00006D21">
      <w:pPr>
        <w:tabs>
          <w:tab w:val="left" w:pos="993"/>
        </w:tabs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 Якщо причиною ненадання або надання неякісних послуг з постачання теплової енергії споживачам є самовільне регулювання мешканцями будинку подачі теплової енергії на вводі в будинок запірною арматурою відповідно до складених актів-претензій, перерахунок плати за послугу з постачання теплової енергії власникам цих приміщень не проводиться.</w:t>
      </w:r>
    </w:p>
    <w:p w14:paraId="33B1E323" w14:textId="77777777" w:rsidR="00812379" w:rsidRDefault="00812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37481" w14:textId="77777777" w:rsidR="00812379" w:rsidRDefault="00812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795AF1" w14:textId="77777777" w:rsidR="00812379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Заступник міського голови, </w:t>
      </w:r>
    </w:p>
    <w:p w14:paraId="1EA2C6D7" w14:textId="77777777" w:rsidR="00812379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керуючий справами виконкому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Юрій ВЕРБИЧ</w:t>
      </w:r>
    </w:p>
    <w:p w14:paraId="65B2E02C" w14:textId="77777777" w:rsidR="00812379" w:rsidRDefault="00812379">
      <w:pPr>
        <w:pStyle w:val="af3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1A4EEF6C" w14:textId="77777777" w:rsidR="00812379" w:rsidRDefault="00812379">
      <w:pPr>
        <w:pStyle w:val="af3"/>
        <w:spacing w:after="0" w:line="240" w:lineRule="auto"/>
        <w:ind w:firstLine="0"/>
        <w:jc w:val="left"/>
        <w:rPr>
          <w:rFonts w:ascii="Times New Roman" w:hAnsi="Times New Roman" w:cs="Times New Roman"/>
        </w:rPr>
      </w:pPr>
    </w:p>
    <w:p w14:paraId="6143CA3D" w14:textId="77777777" w:rsidR="00812379" w:rsidRDefault="00000000">
      <w:pPr>
        <w:pStyle w:val="af3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777 955</w:t>
      </w:r>
    </w:p>
    <w:p w14:paraId="00B2755C" w14:textId="77777777" w:rsidR="00812379" w:rsidRDefault="00812379">
      <w:pPr>
        <w:pStyle w:val="af0"/>
        <w:tabs>
          <w:tab w:val="left" w:pos="993"/>
        </w:tabs>
        <w:spacing w:after="0" w:line="240" w:lineRule="auto"/>
        <w:ind w:left="0"/>
        <w:jc w:val="both"/>
      </w:pPr>
    </w:p>
    <w:sectPr w:rsidR="00812379">
      <w:headerReference w:type="default" r:id="rId8"/>
      <w:pgSz w:w="11906" w:h="16838"/>
      <w:pgMar w:top="1134" w:right="567" w:bottom="1418" w:left="1985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BD98" w14:textId="77777777" w:rsidR="00EE712C" w:rsidRDefault="00EE712C">
      <w:pPr>
        <w:spacing w:after="0" w:line="240" w:lineRule="auto"/>
      </w:pPr>
      <w:r>
        <w:separator/>
      </w:r>
    </w:p>
  </w:endnote>
  <w:endnote w:type="continuationSeparator" w:id="0">
    <w:p w14:paraId="3562AC7D" w14:textId="77777777" w:rsidR="00EE712C" w:rsidRDefault="00E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76A8" w14:textId="77777777" w:rsidR="00EE712C" w:rsidRDefault="00EE712C">
      <w:pPr>
        <w:spacing w:after="0" w:line="240" w:lineRule="auto"/>
      </w:pPr>
      <w:r>
        <w:separator/>
      </w:r>
    </w:p>
  </w:footnote>
  <w:footnote w:type="continuationSeparator" w:id="0">
    <w:p w14:paraId="6A5D7769" w14:textId="77777777" w:rsidR="00EE712C" w:rsidRDefault="00EE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23470"/>
      <w:docPartObj>
        <w:docPartGallery w:val="Page Numbers (Top of Page)"/>
        <w:docPartUnique/>
      </w:docPartObj>
    </w:sdtPr>
    <w:sdtContent>
      <w:p w14:paraId="63BF6997" w14:textId="77777777" w:rsidR="00812379" w:rsidRDefault="00000000">
        <w:pPr>
          <w:spacing w:after="0" w:line="240" w:lineRule="auto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4142A0AB" w14:textId="77777777" w:rsidR="00812379" w:rsidRDefault="00000000">
        <w:pPr>
          <w:tabs>
            <w:tab w:val="left" w:pos="5387"/>
          </w:tabs>
          <w:spacing w:after="0" w:line="240" w:lineRule="auto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 1</w:t>
        </w:r>
      </w:p>
      <w:p w14:paraId="341A9FA8" w14:textId="77777777" w:rsidR="00812379" w:rsidRDefault="00000000">
        <w:pPr>
          <w:spacing w:after="0" w:line="240" w:lineRule="auto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1CEA"/>
    <w:multiLevelType w:val="multilevel"/>
    <w:tmpl w:val="D8667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C84CDC"/>
    <w:multiLevelType w:val="multilevel"/>
    <w:tmpl w:val="B1D247F2"/>
    <w:lvl w:ilvl="0">
      <w:start w:val="17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797530377">
    <w:abstractNumId w:val="1"/>
  </w:num>
  <w:num w:numId="2" w16cid:durableId="82420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79"/>
    <w:rsid w:val="00006D21"/>
    <w:rsid w:val="000A5C3D"/>
    <w:rsid w:val="0034764E"/>
    <w:rsid w:val="0040208C"/>
    <w:rsid w:val="00454A22"/>
    <w:rsid w:val="004C6781"/>
    <w:rsid w:val="006413C0"/>
    <w:rsid w:val="00812379"/>
    <w:rsid w:val="00964FF9"/>
    <w:rsid w:val="00AE2DD2"/>
    <w:rsid w:val="00C336E4"/>
    <w:rsid w:val="00E03233"/>
    <w:rsid w:val="00E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CA73"/>
  <w15:docId w15:val="{80607181-F003-49EB-BC5A-D1FD194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368"/>
    <w:rPr>
      <w:b/>
      <w:bCs/>
    </w:rPr>
  </w:style>
  <w:style w:type="character" w:styleId="a4">
    <w:name w:val="Emphasis"/>
    <w:basedOn w:val="a0"/>
    <w:uiPriority w:val="20"/>
    <w:qFormat/>
    <w:rsid w:val="00E25368"/>
    <w:rPr>
      <w:i/>
      <w:iCs/>
    </w:rPr>
  </w:style>
  <w:style w:type="character" w:styleId="a5">
    <w:name w:val="Hyperlink"/>
    <w:uiPriority w:val="99"/>
    <w:unhideWhenUsed/>
    <w:rsid w:val="002C3F76"/>
    <w:rPr>
      <w:color w:val="0000FF"/>
      <w:u w:val="single"/>
    </w:rPr>
  </w:style>
  <w:style w:type="character" w:customStyle="1" w:styleId="rvts0">
    <w:name w:val="rvts0"/>
    <w:basedOn w:val="a0"/>
    <w:qFormat/>
    <w:rsid w:val="00A270E8"/>
  </w:style>
  <w:style w:type="character" w:customStyle="1" w:styleId="apple-converted-space">
    <w:name w:val="apple-converted-space"/>
    <w:basedOn w:val="a0"/>
    <w:qFormat/>
    <w:rsid w:val="0075415A"/>
  </w:style>
  <w:style w:type="character" w:customStyle="1" w:styleId="a6">
    <w:name w:val="Текст выноски Знак"/>
    <w:basedOn w:val="a0"/>
    <w:uiPriority w:val="99"/>
    <w:semiHidden/>
    <w:qFormat/>
    <w:rsid w:val="00117FFD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uiPriority w:val="99"/>
    <w:semiHidden/>
    <w:qFormat/>
    <w:rsid w:val="00532F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711D09"/>
    <w:rPr>
      <w:sz w:val="22"/>
    </w:rPr>
  </w:style>
  <w:style w:type="character" w:customStyle="1" w:styleId="a9">
    <w:name w:val="Верхній колонтитул Знак"/>
    <w:basedOn w:val="a0"/>
    <w:link w:val="aa"/>
    <w:uiPriority w:val="99"/>
    <w:qFormat/>
    <w:rsid w:val="00711D09"/>
    <w:rPr>
      <w:sz w:val="2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List Paragraph"/>
    <w:basedOn w:val="a"/>
    <w:uiPriority w:val="34"/>
    <w:qFormat/>
    <w:rsid w:val="004343C4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C605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117F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53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pPr>
      <w:ind w:firstLine="545"/>
      <w:jc w:val="both"/>
    </w:pPr>
    <w:rPr>
      <w:sz w:val="28"/>
      <w:lang w:val="uk-UA"/>
    </w:rPr>
  </w:style>
  <w:style w:type="paragraph" w:customStyle="1" w:styleId="af4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a">
    <w:name w:val="header"/>
    <w:basedOn w:val="af4"/>
    <w:link w:val="a9"/>
    <w:uiPriority w:val="99"/>
  </w:style>
  <w:style w:type="paragraph" w:styleId="a8">
    <w:name w:val="footer"/>
    <w:basedOn w:val="a"/>
    <w:link w:val="a7"/>
    <w:uiPriority w:val="99"/>
    <w:unhideWhenUsed/>
    <w:rsid w:val="00711D09"/>
    <w:pPr>
      <w:tabs>
        <w:tab w:val="center" w:pos="4986"/>
        <w:tab w:val="right" w:pos="9973"/>
      </w:tabs>
      <w:spacing w:after="0" w:line="240" w:lineRule="auto"/>
    </w:pPr>
  </w:style>
  <w:style w:type="table" w:styleId="af5">
    <w:name w:val="Table Grid"/>
    <w:basedOn w:val="a1"/>
    <w:rsid w:val="00E25368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342E-7391-4143-9A5C-0CC0A14F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6329</Words>
  <Characters>3609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22</cp:revision>
  <cp:lastPrinted>2023-08-21T13:50:00Z</cp:lastPrinted>
  <dcterms:created xsi:type="dcterms:W3CDTF">2023-07-25T12:53:00Z</dcterms:created>
  <dcterms:modified xsi:type="dcterms:W3CDTF">2024-09-04T06:05:00Z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