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8B4B3" w14:textId="77777777" w:rsidR="00BC0527" w:rsidRDefault="0000000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14:paraId="0199227B" w14:textId="77777777" w:rsidR="00BC0527" w:rsidRDefault="0000000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 міської ради</w:t>
      </w:r>
    </w:p>
    <w:p w14:paraId="6ACC67ED" w14:textId="77777777" w:rsidR="00BC0527" w:rsidRDefault="000000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_________________№_________</w:t>
      </w:r>
    </w:p>
    <w:p w14:paraId="3EBBE57C" w14:textId="77777777" w:rsidR="00BC0527" w:rsidRDefault="00BC05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95FAB20" w14:textId="77777777" w:rsidR="00BC0527" w:rsidRDefault="00BC05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634C5BC" w14:textId="77777777" w:rsidR="00BC0527" w:rsidRDefault="00000000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Перелік категорій громадян,</w:t>
      </w:r>
    </w:p>
    <w:p w14:paraId="6192B8B4" w14:textId="658CCA74" w:rsidR="00BC0527" w:rsidRDefault="0000000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що зареєстровані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в м. Луцьку та інших населених пунктах, що належать до Луцької міської територіальної громади, та внутрішньо переміщених осіб (на підставі довідки про взяття на облік, виданої департаментом соціальної </w:t>
      </w:r>
      <w:r w:rsidR="008E7196">
        <w:rPr>
          <w:rFonts w:ascii="Times New Roman" w:hAnsi="Times New Roman"/>
          <w:spacing w:val="-1"/>
          <w:sz w:val="28"/>
          <w:szCs w:val="28"/>
          <w:lang w:val="uk-UA"/>
        </w:rPr>
        <w:t xml:space="preserve">та ветеранської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політики Луцької міської ради),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яким буде надаватись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безоплатний проїзд при здійсненні перевезень громадським транспортом (тролейбус) у 2025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році</w:t>
      </w:r>
    </w:p>
    <w:p w14:paraId="54C4B186" w14:textId="77777777" w:rsidR="00BC0527" w:rsidRDefault="00BC05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17" w:type="dxa"/>
        <w:tblInd w:w="-3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"/>
        <w:gridCol w:w="8870"/>
      </w:tblGrid>
      <w:tr w:rsidR="00BC0527" w14:paraId="2F6F81DD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B3D3F" w14:textId="77777777" w:rsidR="00BC0527" w:rsidRDefault="00000000">
            <w:pPr>
              <w:pStyle w:val="afc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  <w:p w14:paraId="2DC94C04" w14:textId="77777777" w:rsidR="00BC0527" w:rsidRDefault="00000000">
            <w:pPr>
              <w:pStyle w:val="afc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FCCA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10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Категорія</w:t>
            </w:r>
          </w:p>
        </w:tc>
      </w:tr>
      <w:tr w:rsidR="00BC0527" w14:paraId="308E2BCA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5C2C4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DBDFC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бойових дій (за відсутності посвідчення, оригінал довідки про безпосередню участь особи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України)</w:t>
            </w:r>
          </w:p>
        </w:tc>
      </w:tr>
      <w:tr w:rsidR="00BC0527" w14:paraId="04B7BB8E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2A38C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106C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Бійці-добровольці</w:t>
            </w:r>
          </w:p>
        </w:tc>
      </w:tr>
      <w:tr w:rsidR="00BC0527" w14:paraId="4A90E115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2F288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0ADE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Постраждалі учасники Революції Гідності</w:t>
            </w:r>
          </w:p>
        </w:tc>
      </w:tr>
      <w:tr w:rsidR="00BC0527" w14:paraId="7F15EE3E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7B4D4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0E675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внаслідок війни</w:t>
            </w:r>
          </w:p>
        </w:tc>
      </w:tr>
      <w:tr w:rsidR="00BC0527" w14:paraId="5194A762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1B544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3A52E" w14:textId="79579072" w:rsidR="00BC0527" w:rsidRPr="008E7196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B3052D">
              <w:rPr>
                <w:rFonts w:ascii="Times New Roman" w:hAnsi="Times New Roman"/>
                <w:sz w:val="28"/>
                <w:szCs w:val="28"/>
                <w:lang w:val="uk-UA"/>
              </w:rPr>
              <w:t>Особ</w:t>
            </w:r>
            <w:r w:rsidR="00B3052D" w:rsidRPr="00B3052D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B3052D">
              <w:rPr>
                <w:rFonts w:ascii="Times New Roman" w:hAnsi="Times New Roman"/>
                <w:sz w:val="28"/>
                <w:szCs w:val="28"/>
                <w:lang w:val="uk-UA"/>
              </w:rPr>
              <w:t>, що супроводжу</w:t>
            </w:r>
            <w:r w:rsidR="00B3052D" w:rsidRPr="00B3052D">
              <w:rPr>
                <w:rFonts w:ascii="Times New Roman" w:hAnsi="Times New Roman"/>
                <w:sz w:val="28"/>
                <w:szCs w:val="28"/>
                <w:lang w:val="uk-UA"/>
              </w:rPr>
              <w:t>ють</w:t>
            </w:r>
            <w:r w:rsidRPr="00B305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особу з інвалідністю внаслідок війни І групи</w:t>
            </w:r>
            <w:r w:rsidR="00B3052D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B3052D">
              <w:rPr>
                <w:rFonts w:ascii="Times New Roman" w:hAnsi="Times New Roman"/>
                <w:sz w:val="28"/>
                <w:szCs w:val="28"/>
                <w:lang w:val="uk-UA"/>
              </w:rPr>
              <w:t>(не більше однієї особи)</w:t>
            </w:r>
          </w:p>
        </w:tc>
      </w:tr>
      <w:tr w:rsidR="00BC0527" w14:paraId="7CF3AB40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633FE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657F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Діти осіб з інвалідністю внаслідок війни до 18 років</w:t>
            </w:r>
          </w:p>
        </w:tc>
      </w:tr>
      <w:tr w:rsidR="00BC0527" w14:paraId="08AF35F2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DA8AB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69AF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які постраждали внаслідок Чорнобильської катастрофи, віднесені до категорії 1</w:t>
            </w:r>
          </w:p>
        </w:tc>
      </w:tr>
      <w:tr w:rsidR="00BC0527" w14:paraId="7033CEFA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53073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73B5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ліквідації наслідків аварії на Чорнобильській АЕС, які належать до категорії 2</w:t>
            </w:r>
          </w:p>
        </w:tc>
      </w:tr>
      <w:tr w:rsidR="00BC0527" w14:paraId="3A742F43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84023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472D" w14:textId="653F9FDA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з багатодітних сімей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(у випадку навчання за денною чи дуальною формою навчання у професійно-технічних та вищих навчальних закладах – до закінчення навчальних закладів, але не довше ніж до досягнення ними 23 років)</w:t>
            </w:r>
          </w:p>
        </w:tc>
      </w:tr>
      <w:tr w:rsidR="00BC0527" w14:paraId="7E5E0750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5F3BD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4E56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Діти-сироти та діти, позбавлені батьківського піклування, що забезпечені Єдиним квитком</w:t>
            </w:r>
          </w:p>
        </w:tc>
      </w:tr>
      <w:tr w:rsidR="00BC0527" w14:paraId="7D70B31E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B929A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189B" w14:textId="77777777" w:rsidR="00BC0527" w:rsidRDefault="00000000">
            <w:pPr>
              <w:widowControl w:val="0"/>
              <w:ind w:right="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Діти з інвалідністю віком до 18 років</w:t>
            </w:r>
          </w:p>
        </w:tc>
      </w:tr>
      <w:tr w:rsidR="00BC0527" w14:paraId="26A0449F" w14:textId="77777777" w:rsidTr="008E7196">
        <w:trPr>
          <w:cantSplit/>
          <w:trHeight w:val="572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48AAB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BD3A" w14:textId="136FD167" w:rsidR="00BC0527" w:rsidRDefault="00000000" w:rsidP="008E7196">
            <w:pPr>
              <w:pStyle w:val="afc"/>
              <w:widowControl w:val="0"/>
              <w:ind w:left="59" w:right="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Особи, які супроводжують дітей з інвалідністю до 18 років (не більше   однієї особи)</w:t>
            </w:r>
          </w:p>
        </w:tc>
      </w:tr>
      <w:tr w:rsidR="00BC0527" w14:paraId="5461245E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54679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D916F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Пенсіонери за віком</w:t>
            </w:r>
          </w:p>
        </w:tc>
      </w:tr>
      <w:tr w:rsidR="00BC0527" w14:paraId="76C5CC71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D0A35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67D9" w14:textId="77777777" w:rsidR="00BC0527" w:rsidRDefault="00000000">
            <w:pPr>
              <w:pStyle w:val="afc"/>
              <w:widowControl w:val="0"/>
              <w:ind w:righ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Особи з інвалідністю</w:t>
            </w:r>
          </w:p>
        </w:tc>
      </w:tr>
      <w:tr w:rsidR="00BC0527" w14:paraId="70670354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F860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2EF3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які супроводжують осіб з інвалідністю I групи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(не більше однієї особи)</w:t>
            </w:r>
          </w:p>
        </w:tc>
      </w:tr>
      <w:tr w:rsidR="00BC0527" w14:paraId="1FFEF700" w14:textId="77777777">
        <w:trPr>
          <w:cantSplit/>
          <w:trHeight w:val="451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B2AA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DF50E" w14:textId="7D9314A5" w:rsidR="00BC0527" w:rsidRDefault="00000000">
            <w:pPr>
              <w:widowControl w:val="0"/>
              <w:ind w:left="170" w:righ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Діти військовослужбовців Збройних сил України та інших військових формувань, створених у відповідності до чинного законодавства України, яким надано статус: член сім'ї загиблого, член сім'ї загиблого Захисника чи Захисниці України (на підставі документів, виданих департаментом соціальної</w:t>
            </w:r>
            <w:r w:rsidR="008E71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та ветеранської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політики Луцької міської ради: дітям до 14 років на підставі відповідної довідки), діти зниклих безвісти військовослужбовців та військовополонених (на підставі витягу з реєстру досудових розслідувань), діти осіб з інвалідністю внаслідок війни (на підставі посвідчення батька чи матері та свідоцтва про народження дитини), які є учнями закладів загальної середньої освіти  Луцької міської територіальної громади, та відповідно до Комплексної програми соціальної підтримки ветеранів війни та членів їх сімей на 2024–2026 роки</w:t>
            </w:r>
          </w:p>
        </w:tc>
      </w:tr>
      <w:tr w:rsidR="00BC0527" w14:paraId="5448FF8B" w14:textId="77777777">
        <w:trPr>
          <w:cantSplit/>
          <w:trHeight w:val="50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7778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0078" w14:textId="77777777" w:rsidR="00BC0527" w:rsidRDefault="00000000">
            <w:pPr>
              <w:widowControl w:val="0"/>
              <w:ind w:left="170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Члени сімей загиблих (померлих) військовослужбовців (на підставі довідки, виданої департаментом соціальної та ветеранської політики)</w:t>
            </w:r>
          </w:p>
        </w:tc>
      </w:tr>
      <w:tr w:rsidR="00BC0527" w14:paraId="2CA39A9D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4C65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6A73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військової служби</w:t>
            </w:r>
          </w:p>
        </w:tc>
      </w:tr>
      <w:tr w:rsidR="00BC0527" w14:paraId="66F929CB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F54E6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C98F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органів внутрішніх справ</w:t>
            </w:r>
          </w:p>
        </w:tc>
      </w:tr>
      <w:tr w:rsidR="00BC0527" w14:paraId="5B513D01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54F72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CE89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Національної поліції</w:t>
            </w:r>
          </w:p>
        </w:tc>
      </w:tr>
      <w:tr w:rsidR="00BC0527" w14:paraId="253FC040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E2408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92A7D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податкової міліції</w:t>
            </w:r>
          </w:p>
        </w:tc>
      </w:tr>
      <w:tr w:rsidR="00BC0527" w14:paraId="65D24199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F0BA1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D1B1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Державної пожежної охорони</w:t>
            </w:r>
          </w:p>
        </w:tc>
      </w:tr>
      <w:tr w:rsidR="00BC0527" w14:paraId="68509E13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B83AA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FEF9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Державної кримінально-виконавчої служби</w:t>
            </w:r>
          </w:p>
        </w:tc>
      </w:tr>
      <w:tr w:rsidR="00BC0527" w14:paraId="11CF0CE9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D3669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4F7C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служби цивільного захисту</w:t>
            </w:r>
          </w:p>
        </w:tc>
      </w:tr>
      <w:tr w:rsidR="00BC0527" w14:paraId="78538442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F759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3EDB8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Державної служби спеціального зв'язку та захисту інформації України</w:t>
            </w:r>
          </w:p>
        </w:tc>
      </w:tr>
      <w:tr w:rsidR="00BC0527" w14:paraId="14D57C0A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BEB4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1DA6D" w14:textId="77777777" w:rsidR="00BC0527" w:rsidRDefault="00000000">
            <w:pPr>
              <w:pStyle w:val="afc"/>
              <w:widowControl w:val="0"/>
              <w:ind w:right="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Ветерани бюро економічної безпеки України</w:t>
            </w:r>
          </w:p>
        </w:tc>
      </w:tr>
      <w:tr w:rsidR="00BC0527" w14:paraId="7127AE8C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44999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54BE" w14:textId="77777777" w:rsidR="00BC0527" w:rsidRDefault="00000000">
            <w:pPr>
              <w:pStyle w:val="afc"/>
              <w:widowControl w:val="0"/>
              <w:spacing w:after="0" w:line="240" w:lineRule="auto"/>
              <w:ind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Ветерани ОУН-УПА</w:t>
            </w:r>
          </w:p>
        </w:tc>
      </w:tr>
      <w:tr w:rsidR="00BC0527" w14:paraId="1D6907C2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03389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88D4" w14:textId="0E8BE831" w:rsidR="00BC0527" w:rsidRDefault="00000000" w:rsidP="008E7196">
            <w:pPr>
              <w:widowControl w:val="0"/>
              <w:spacing w:after="0" w:line="240" w:lineRule="auto"/>
              <w:ind w:right="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Батьки військовослужбовців, які загинули чи померли або зникли безвісти під час проходження військової служби</w:t>
            </w:r>
          </w:p>
        </w:tc>
      </w:tr>
      <w:tr w:rsidR="00BC0527" w14:paraId="08AA3850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B4FAD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C9484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Особи, на яких поширюється статус члена сім’ї загиблого (померлого), зниклого безвісти ветерана війни, Захисника та Захисниці</w:t>
            </w:r>
          </w:p>
        </w:tc>
      </w:tr>
      <w:tr w:rsidR="00BC0527" w14:paraId="3966A57D" w14:textId="77777777" w:rsidTr="00A91EC3">
        <w:trPr>
          <w:cantSplit/>
          <w:trHeight w:val="740"/>
        </w:trPr>
        <w:tc>
          <w:tcPr>
            <w:tcW w:w="5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3F1CEC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544A0" w14:textId="77777777" w:rsidR="00BC0527" w:rsidRDefault="00000000">
            <w:pPr>
              <w:pStyle w:val="afc"/>
              <w:widowControl w:val="0"/>
              <w:ind w:left="170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Реабілітовані особи, які стали особами з інвалідністю внаслідок репресій або є пенсіонером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відсутності посвідчення, оригінал довідки)</w:t>
            </w:r>
          </w:p>
        </w:tc>
      </w:tr>
      <w:tr w:rsidR="00BC0527" w14:paraId="476F4B50" w14:textId="77777777" w:rsidTr="00A91EC3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6D73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A1BB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визнані жертвами нацистських переслідувань</w:t>
            </w:r>
          </w:p>
        </w:tc>
      </w:tr>
      <w:tr w:rsidR="00BC0527" w14:paraId="7A91BC38" w14:textId="77777777" w:rsidTr="00A91EC3">
        <w:trPr>
          <w:cantSplit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27BD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31CF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Почесні громадяни Луцької міської територіальної громади</w:t>
            </w:r>
          </w:p>
        </w:tc>
      </w:tr>
      <w:tr w:rsidR="00BC0527" w14:paraId="1614D356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EB15F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5B42" w14:textId="77777777" w:rsidR="00BC0527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відділу транспорту Луцької міської ради</w:t>
            </w:r>
          </w:p>
        </w:tc>
      </w:tr>
      <w:tr w:rsidR="00BC0527" w14:paraId="3FCAC553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5459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A675" w14:textId="77777777" w:rsidR="00BC0527" w:rsidRDefault="00000000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_DdeLink__197_2946986951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Працівники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соціальних служб для сім’ї, дітей та молоді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Луцької міської ради</w:t>
            </w:r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 списком)</w:t>
            </w:r>
          </w:p>
        </w:tc>
      </w:tr>
      <w:tr w:rsidR="00BC0527" w14:paraId="02E72619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CD6D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CB5A" w14:textId="77777777" w:rsidR="00BC0527" w:rsidRDefault="00000000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1" w:name="__DdeLink__197_29469869511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департаменту муніципальної варти Луцької міської ради</w:t>
            </w:r>
            <w:bookmarkEnd w:id="1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 списком)</w:t>
            </w:r>
          </w:p>
        </w:tc>
      </w:tr>
      <w:tr w:rsidR="00BC0527" w14:paraId="7250032A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3DDB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0448" w14:textId="77777777" w:rsidR="00BC0527" w:rsidRDefault="00000000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департаменту житлово-комунального господарства Луцької міської ради (за списком)</w:t>
            </w:r>
          </w:p>
        </w:tc>
      </w:tr>
      <w:tr w:rsidR="00BC0527" w14:paraId="4ACAD337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64744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A97C" w14:textId="5E9E69E5" w:rsidR="00BC0527" w:rsidRDefault="00000000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Працівники департаменту соціальної </w:t>
            </w:r>
            <w:r w:rsidR="008E719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ветеранської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політики Луцької міської ради (за списком)</w:t>
            </w:r>
          </w:p>
        </w:tc>
      </w:tr>
      <w:tr w:rsidR="00BC0527" w14:paraId="2A87E1A5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5B54D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4062" w14:textId="77777777" w:rsidR="00BC0527" w:rsidRDefault="00000000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територіального центру соціального обслуговування (надання соціальних послуг) Луцької міської територіальної громади (за списком)</w:t>
            </w:r>
          </w:p>
        </w:tc>
      </w:tr>
      <w:tr w:rsidR="00BC0527" w14:paraId="1A2D7816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83C1A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67E06" w14:textId="77777777" w:rsidR="00BC0527" w:rsidRDefault="00000000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2" w:name="__DdeLink__212_3532810766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</w:t>
            </w:r>
            <w:bookmarkEnd w:id="2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Луцького міського відділу філії Державної установи «Центр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пробації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 у Волинській області (за списком)</w:t>
            </w:r>
          </w:p>
        </w:tc>
      </w:tr>
      <w:tr w:rsidR="00BC0527" w14:paraId="36717BFC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4978B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8822" w14:textId="77777777" w:rsidR="00BC0527" w:rsidRDefault="00000000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управління інспекційної діяльності у Волинській області Західного міжрегіонального управління Державної служби з питань праці (за списком)</w:t>
            </w:r>
          </w:p>
        </w:tc>
      </w:tr>
      <w:tr w:rsidR="00BC0527" w14:paraId="433B65C9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E414C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D6C7" w14:textId="77777777" w:rsidR="00BC0527" w:rsidRDefault="00000000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Управління забезпечення примусового виконання рішень у Волинській області Західного міжрегіонального управління Міністерства юстиції (за списком)</w:t>
            </w:r>
          </w:p>
        </w:tc>
      </w:tr>
      <w:tr w:rsidR="00BC0527" w14:paraId="63FCB280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CB386" w14:textId="77777777" w:rsidR="00BC0527" w:rsidRDefault="00BC0527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FDE9" w14:textId="77777777" w:rsidR="00BC0527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3" w:name="__DdeLink__222_1088417499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відділу превенції Луцького районного управління поліції ГУ Національної поліції у Волинській області</w:t>
            </w:r>
            <w:bookmarkEnd w:id="3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bookmarkStart w:id="4" w:name="__DdeLink__197_29469869512"/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 списком)</w:t>
            </w:r>
            <w:bookmarkEnd w:id="4"/>
          </w:p>
        </w:tc>
      </w:tr>
    </w:tbl>
    <w:p w14:paraId="7058D70D" w14:textId="77777777" w:rsidR="00BC0527" w:rsidRDefault="00BC05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3F05E9" w14:textId="77777777" w:rsidR="00BC0527" w:rsidRDefault="00BC05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D27C9B" w14:textId="77777777" w:rsidR="00BC0527" w:rsidRDefault="00BC05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0332A8" w14:textId="77777777" w:rsidR="00BC0527" w:rsidRDefault="00000000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56BB2388" w14:textId="77777777" w:rsidR="00BC0527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644F03B4" w14:textId="77777777" w:rsidR="00BC0527" w:rsidRDefault="00BC05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4DEE6D" w14:textId="77777777" w:rsidR="00BC0527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Главічка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777 986</w:t>
      </w:r>
    </w:p>
    <w:p w14:paraId="36C0A3DD" w14:textId="77777777" w:rsidR="00BC0527" w:rsidRDefault="00BC05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BC0527">
      <w:headerReference w:type="default" r:id="rId7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AAD1D" w14:textId="77777777" w:rsidR="00F25F04" w:rsidRDefault="00F25F04">
      <w:pPr>
        <w:spacing w:after="0" w:line="240" w:lineRule="auto"/>
      </w:pPr>
      <w:r>
        <w:separator/>
      </w:r>
    </w:p>
  </w:endnote>
  <w:endnote w:type="continuationSeparator" w:id="0">
    <w:p w14:paraId="60DE53AD" w14:textId="77777777" w:rsidR="00F25F04" w:rsidRDefault="00F2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2CD77" w14:textId="77777777" w:rsidR="00F25F04" w:rsidRDefault="00F25F04">
      <w:pPr>
        <w:spacing w:after="0" w:line="240" w:lineRule="auto"/>
      </w:pPr>
      <w:r>
        <w:separator/>
      </w:r>
    </w:p>
  </w:footnote>
  <w:footnote w:type="continuationSeparator" w:id="0">
    <w:p w14:paraId="3C6291F5" w14:textId="77777777" w:rsidR="00F25F04" w:rsidRDefault="00F25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A28B8" w14:textId="77777777" w:rsidR="00BC0527" w:rsidRDefault="00000000">
    <w:pPr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14:paraId="34F900D2" w14:textId="77777777" w:rsidR="00BC0527" w:rsidRDefault="00000000">
    <w:pPr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  <w:lang w:val="uk-UA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C3322"/>
    <w:multiLevelType w:val="multilevel"/>
    <w:tmpl w:val="D7B00ED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C272C6D"/>
    <w:multiLevelType w:val="multilevel"/>
    <w:tmpl w:val="1682CF5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9862510">
    <w:abstractNumId w:val="1"/>
  </w:num>
  <w:num w:numId="2" w16cid:durableId="172205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527"/>
    <w:rsid w:val="00007D95"/>
    <w:rsid w:val="002E084F"/>
    <w:rsid w:val="004F36C1"/>
    <w:rsid w:val="006B6C3B"/>
    <w:rsid w:val="008E7196"/>
    <w:rsid w:val="00A91EC3"/>
    <w:rsid w:val="00B3052D"/>
    <w:rsid w:val="00BC0527"/>
    <w:rsid w:val="00C65294"/>
    <w:rsid w:val="00F2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C480"/>
  <w15:docId w15:val="{0910AC69-F978-40DB-B4C4-EC924FD5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10">
    <w:name w:val="Гіперпосилання1"/>
    <w:qFormat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a4">
    <w:name w:val="Символ нумерации"/>
    <w:qFormat/>
  </w:style>
  <w:style w:type="character" w:customStyle="1" w:styleId="21">
    <w:name w:val="Основний текст 2 Знак"/>
    <w:qFormat/>
    <w:rPr>
      <w:rFonts w:ascii="Times New Roman" w:hAnsi="Times New Roman" w:cs="Mangal;Liberation Mono"/>
      <w:bCs/>
      <w:kern w:val="2"/>
      <w:sz w:val="24"/>
      <w:szCs w:val="24"/>
      <w:lang w:eastAsia="zh-CN" w:bidi="hi-IN"/>
    </w:rPr>
  </w:style>
  <w:style w:type="character" w:customStyle="1" w:styleId="a5">
    <w:name w:val="Верхній колонтитул Знак"/>
    <w:qFormat/>
    <w:rPr>
      <w:rFonts w:ascii="Times New Roman" w:hAnsi="Times New Roman" w:cs="Mangal;Liberation Mono"/>
      <w:bCs/>
      <w:kern w:val="2"/>
      <w:sz w:val="24"/>
      <w:szCs w:val="24"/>
      <w:lang w:eastAsia="zh-CN" w:bidi="hi-IN"/>
    </w:rPr>
  </w:style>
  <w:style w:type="character" w:customStyle="1" w:styleId="a6">
    <w:name w:val="Основний текст з відступом Знак"/>
    <w:qFormat/>
    <w:rPr>
      <w:rFonts w:ascii="Times New Roman" w:hAnsi="Times New Roman" w:cs="Mangal;Liberation Mono"/>
      <w:bCs/>
      <w:kern w:val="2"/>
      <w:sz w:val="24"/>
      <w:szCs w:val="24"/>
      <w:lang w:eastAsia="zh-CN" w:bidi="hi-IN"/>
    </w:rPr>
  </w:style>
  <w:style w:type="character" w:customStyle="1" w:styleId="HTML">
    <w:name w:val="Стандартний HTML Знак"/>
    <w:qFormat/>
    <w:rPr>
      <w:rFonts w:ascii="Courier New" w:hAnsi="Courier New" w:cs="Mangal;Liberation Mono"/>
      <w:bCs/>
      <w:kern w:val="2"/>
      <w:sz w:val="18"/>
      <w:szCs w:val="18"/>
      <w:lang w:eastAsia="zh-CN" w:bidi="hi-IN"/>
    </w:rPr>
  </w:style>
  <w:style w:type="character" w:customStyle="1" w:styleId="a7">
    <w:name w:val="Текст у виносці Знак"/>
    <w:qFormat/>
    <w:rPr>
      <w:rFonts w:ascii="Times New Roman" w:hAnsi="Times New Roman" w:cs="Mangal;Liberation Mono"/>
      <w:bCs/>
      <w:kern w:val="2"/>
      <w:sz w:val="2"/>
      <w:lang w:eastAsia="zh-CN" w:bidi="hi-IN"/>
    </w:rPr>
  </w:style>
  <w:style w:type="character" w:customStyle="1" w:styleId="a8">
    <w:name w:val="Основний текст Знак"/>
    <w:qFormat/>
    <w:rPr>
      <w:rFonts w:ascii="Times New Roman" w:hAnsi="Times New Roman" w:cs="Mangal;Liberation Mono"/>
      <w:bCs/>
      <w:kern w:val="2"/>
      <w:sz w:val="24"/>
      <w:szCs w:val="24"/>
      <w:lang w:eastAsia="zh-CN" w:bidi="hi-IN"/>
    </w:rPr>
  </w:style>
  <w:style w:type="character" w:customStyle="1" w:styleId="12">
    <w:name w:val="Номер сторінки1"/>
    <w:qFormat/>
    <w:rPr>
      <w:rFonts w:cs="Times New Roman"/>
    </w:rPr>
  </w:style>
  <w:style w:type="character" w:customStyle="1" w:styleId="a9">
    <w:name w:val="Виділення жирним"/>
    <w:qFormat/>
    <w:rPr>
      <w:b/>
    </w:rPr>
  </w:style>
  <w:style w:type="character" w:customStyle="1" w:styleId="aa">
    <w:name w:val="Основний текст_"/>
    <w:qFormat/>
    <w:rPr>
      <w:sz w:val="21"/>
    </w:rPr>
  </w:style>
  <w:style w:type="character" w:customStyle="1" w:styleId="rvts0">
    <w:name w:val="rvts0"/>
    <w:qFormat/>
  </w:style>
  <w:style w:type="character" w:customStyle="1" w:styleId="HTML0">
    <w:name w:val="Стандартный HTML Знак"/>
    <w:qFormat/>
    <w:rPr>
      <w:rFonts w:ascii="Courier New" w:hAnsi="Courier New" w:cs="Courier New"/>
      <w:lang w:val="ru-RU"/>
    </w:rPr>
  </w:style>
  <w:style w:type="character" w:customStyle="1" w:styleId="rvts23">
    <w:name w:val="rvts23"/>
    <w:qFormat/>
  </w:style>
  <w:style w:type="character" w:customStyle="1" w:styleId="read">
    <w:name w:val="read"/>
    <w:qFormat/>
    <w:rPr>
      <w:rFonts w:ascii="Times New Roman" w:hAnsi="Times New Roman" w:cs="Times New Roman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lang w:val="uk-UA"/>
    </w:rPr>
  </w:style>
  <w:style w:type="character" w:customStyle="1" w:styleId="22">
    <w:name w:val="Заголовок 2 Знак"/>
    <w:qFormat/>
    <w:rPr>
      <w:rFonts w:ascii="Cambria" w:hAnsi="Cambria" w:cs="Mangal;Liberation Mono"/>
      <w:b/>
      <w:bCs/>
      <w:i/>
      <w:iCs/>
      <w:kern w:val="2"/>
      <w:sz w:val="25"/>
      <w:szCs w:val="25"/>
      <w:lang w:eastAsia="zh-CN" w:bidi="hi-IN"/>
    </w:rPr>
  </w:style>
  <w:style w:type="character" w:customStyle="1" w:styleId="13">
    <w:name w:val="Заголовок 1 Знак"/>
    <w:qFormat/>
    <w:rPr>
      <w:rFonts w:ascii="Cambria" w:hAnsi="Cambria" w:cs="Mangal;Liberation Mono"/>
      <w:b/>
      <w:bCs/>
      <w:kern w:val="2"/>
      <w:sz w:val="29"/>
      <w:szCs w:val="29"/>
      <w:lang w:eastAsia="zh-CN" w:bidi="hi-IN"/>
    </w:rPr>
  </w:style>
  <w:style w:type="character" w:customStyle="1" w:styleId="4">
    <w:name w:val="Основной шрифт абзаца4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3">
    <w:name w:val="Основной шрифт абзаца3"/>
    <w:qFormat/>
  </w:style>
  <w:style w:type="character" w:styleId="ac">
    <w:name w:val="page number"/>
    <w:qFormat/>
  </w:style>
  <w:style w:type="character" w:customStyle="1" w:styleId="ad">
    <w:name w:val="Выделение жирным"/>
    <w:qFormat/>
    <w:rPr>
      <w:b/>
      <w:bCs/>
    </w:rPr>
  </w:style>
  <w:style w:type="character" w:customStyle="1" w:styleId="apple-converted-space">
    <w:name w:val="apple-converted-space"/>
    <w:basedOn w:val="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3"/>
    <w:qFormat/>
  </w:style>
  <w:style w:type="character" w:customStyle="1" w:styleId="ae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f">
    <w:name w:val="Верхний колонтитул Знак"/>
    <w:qFormat/>
    <w:rPr>
      <w:bCs/>
      <w:kern w:val="2"/>
      <w:sz w:val="28"/>
      <w:szCs w:val="24"/>
      <w:lang w:eastAsia="zh-CN"/>
    </w:rPr>
  </w:style>
  <w:style w:type="character" w:customStyle="1" w:styleId="af0">
    <w:name w:val="Основной текст с отступом Знак"/>
    <w:qFormat/>
    <w:rPr>
      <w:sz w:val="28"/>
      <w:szCs w:val="24"/>
    </w:rPr>
  </w:style>
  <w:style w:type="character" w:customStyle="1" w:styleId="23">
    <w:name w:val="Основной текст с отступом 2 Знак"/>
    <w:qFormat/>
    <w:rPr>
      <w:bCs/>
      <w:sz w:val="28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2">
    <w:name w:val="WW8Num5z2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af1">
    <w:name w:val="Нижній колонтитул Знак"/>
    <w:basedOn w:val="a0"/>
    <w:uiPriority w:val="99"/>
    <w:qFormat/>
    <w:rsid w:val="002A419D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af2">
    <w:name w:val="Основной шрифт абзаца"/>
    <w:qFormat/>
  </w:style>
  <w:style w:type="character" w:customStyle="1" w:styleId="14">
    <w:name w:val="Шрифт абзацу за замовчуванням1"/>
    <w:qFormat/>
  </w:style>
  <w:style w:type="paragraph" w:customStyle="1" w:styleId="af3">
    <w:name w:val="Заголовок"/>
    <w:basedOn w:val="a"/>
    <w:next w:val="15"/>
    <w:qFormat/>
    <w:pPr>
      <w:keepNext/>
      <w:spacing w:before="240" w:after="120"/>
    </w:pPr>
    <w:rPr>
      <w:rFonts w:ascii="Times New Roman" w:eastAsia="Microsoft YaHei" w:hAnsi="Times New Roman" w:cs="Mangal;Liberation Mono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15"/>
    <w:rPr>
      <w:rFonts w:ascii="Times New Roman" w:hAnsi="Times New Roman" w:cs="Mangal;Liberation Mono"/>
    </w:rPr>
  </w:style>
  <w:style w:type="paragraph" w:styleId="af6">
    <w:name w:val="caption"/>
    <w:basedOn w:val="a"/>
    <w:qFormat/>
    <w:pPr>
      <w:spacing w:before="120" w:after="120"/>
    </w:pPr>
    <w:rPr>
      <w:i/>
      <w:iCs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styleId="af8">
    <w:name w:val="index heading"/>
    <w:basedOn w:val="a"/>
    <w:qFormat/>
    <w:pPr>
      <w:suppressLineNumbers/>
    </w:pPr>
    <w:rPr>
      <w:rFonts w:ascii="Times New Roman" w:hAnsi="Times New Roman" w:cs="Mangal;Liberation Mono"/>
    </w:rPr>
  </w:style>
  <w:style w:type="paragraph" w:customStyle="1" w:styleId="15">
    <w:name w:val="Основной текст1"/>
    <w:basedOn w:val="a"/>
    <w:qFormat/>
    <w:pPr>
      <w:spacing w:after="120"/>
    </w:p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Times New Roman" w:eastAsia="Calibri" w:hAnsi="Times New Roman"/>
      <w:color w:val="000000"/>
      <w:sz w:val="28"/>
      <w:szCs w:val="28"/>
      <w:lang w:val="uk-UA"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17">
    <w:name w:val="Схема документа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Содержимое врезки"/>
    <w:basedOn w:val="a"/>
    <w:qFormat/>
  </w:style>
  <w:style w:type="paragraph" w:customStyle="1" w:styleId="afe">
    <w:name w:val="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f">
    <w:name w:val="Normal (Web)"/>
    <w:basedOn w:val="a"/>
    <w:qFormat/>
    <w:pPr>
      <w:spacing w:before="280" w:after="280"/>
    </w:pPr>
    <w:rPr>
      <w:sz w:val="24"/>
    </w:rPr>
  </w:style>
  <w:style w:type="paragraph" w:customStyle="1" w:styleId="aff0">
    <w:name w:val="Заголовок таблиці"/>
    <w:basedOn w:val="afc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sz w:val="24"/>
    </w:rPr>
  </w:style>
  <w:style w:type="paragraph" w:customStyle="1" w:styleId="aff1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8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19">
    <w:name w:val="Название1"/>
    <w:basedOn w:val="a"/>
    <w:qFormat/>
    <w:pPr>
      <w:suppressLineNumbers/>
      <w:spacing w:before="120" w:after="120"/>
    </w:pPr>
    <w:rPr>
      <w:rFonts w:cs="Mangal;Liberation Mono"/>
      <w:i/>
      <w:iCs/>
      <w:sz w:val="28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ascii="Times New Roman" w:hAnsi="Times New Roman" w:cs="Mangal;Liberation Mono"/>
    </w:rPr>
  </w:style>
  <w:style w:type="paragraph" w:customStyle="1" w:styleId="25">
    <w:name w:val="Название2"/>
    <w:basedOn w:val="a"/>
    <w:qFormat/>
    <w:pPr>
      <w:suppressLineNumbers/>
      <w:spacing w:before="120" w:after="120"/>
    </w:pPr>
    <w:rPr>
      <w:rFonts w:ascii="Times New Roman" w:hAnsi="Times New Roman" w:cs="Mangal;Liberation Mono"/>
      <w:i/>
      <w:iCs/>
      <w:sz w:val="28"/>
      <w:szCs w:val="24"/>
    </w:rPr>
  </w:style>
  <w:style w:type="paragraph" w:customStyle="1" w:styleId="aff2">
    <w:name w:val="Верхній і нижній колонтитули"/>
    <w:basedOn w:val="a"/>
    <w:qFormat/>
    <w:pPr>
      <w:suppressLineNumbers/>
    </w:pPr>
  </w:style>
  <w:style w:type="paragraph" w:styleId="aff3">
    <w:name w:val="header"/>
    <w:basedOn w:val="a"/>
    <w:pPr>
      <w:suppressLineNumbers/>
    </w:pPr>
  </w:style>
  <w:style w:type="paragraph" w:customStyle="1" w:styleId="aff4">
    <w:name w:val="Вміст рамки"/>
    <w:basedOn w:val="a"/>
    <w:qFormat/>
  </w:style>
  <w:style w:type="paragraph" w:styleId="26">
    <w:name w:val="Body Text 2"/>
    <w:basedOn w:val="a"/>
    <w:qFormat/>
    <w:pPr>
      <w:jc w:val="both"/>
    </w:pPr>
    <w:rPr>
      <w:szCs w:val="20"/>
    </w:rPr>
  </w:style>
  <w:style w:type="paragraph" w:styleId="aff5">
    <w:name w:val="Body Text Indent"/>
    <w:basedOn w:val="a"/>
    <w:pPr>
      <w:ind w:firstLine="545"/>
      <w:jc w:val="both"/>
    </w:pPr>
  </w:style>
  <w:style w:type="paragraph" w:customStyle="1" w:styleId="1a">
    <w:name w:val="Основний текст1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customStyle="1" w:styleId="aff6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b">
    <w:name w:val="Абзац списка1"/>
    <w:basedOn w:val="a"/>
    <w:qFormat/>
    <w:pPr>
      <w:spacing w:after="0"/>
      <w:ind w:left="720"/>
      <w:contextualSpacing/>
    </w:pPr>
    <w:rPr>
      <w:szCs w:val="28"/>
    </w:rPr>
  </w:style>
  <w:style w:type="paragraph" w:styleId="HTML1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rvps2">
    <w:name w:val="rvps2"/>
    <w:basedOn w:val="a"/>
    <w:qFormat/>
    <w:pPr>
      <w:spacing w:before="280" w:after="280"/>
    </w:pPr>
    <w:rPr>
      <w:sz w:val="24"/>
    </w:rPr>
  </w:style>
  <w:style w:type="paragraph" w:styleId="aff7">
    <w:name w:val="List Paragraph"/>
    <w:basedOn w:val="a"/>
    <w:qFormat/>
    <w:pPr>
      <w:spacing w:after="0"/>
      <w:ind w:left="720"/>
      <w:contextualSpacing/>
    </w:pPr>
  </w:style>
  <w:style w:type="paragraph" w:customStyle="1" w:styleId="40">
    <w:name w:val="Указатель4"/>
    <w:basedOn w:val="a"/>
    <w:qFormat/>
    <w:rPr>
      <w:rFonts w:cs="Mangal"/>
    </w:rPr>
  </w:style>
  <w:style w:type="paragraph" w:customStyle="1" w:styleId="27">
    <w:name w:val="Название объекта2"/>
    <w:basedOn w:val="a"/>
    <w:qFormat/>
    <w:pPr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rPr>
      <w:rFonts w:cs="Mangal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val="uk-UA"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f8">
    <w:name w:val="No Spacing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</w:style>
  <w:style w:type="paragraph" w:customStyle="1" w:styleId="aff9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exact"/>
      <w:ind w:left="283"/>
    </w:p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sz w:val="16"/>
      <w:szCs w:val="16"/>
    </w:rPr>
  </w:style>
  <w:style w:type="paragraph" w:styleId="affa">
    <w:name w:val="footer"/>
    <w:basedOn w:val="a"/>
    <w:uiPriority w:val="99"/>
    <w:unhideWhenUsed/>
    <w:rsid w:val="002A419D"/>
    <w:pPr>
      <w:tabs>
        <w:tab w:val="center" w:pos="4986"/>
        <w:tab w:val="right" w:pos="9973"/>
      </w:tabs>
      <w:spacing w:after="0" w:line="240" w:lineRule="auto"/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paragraph" w:styleId="affb">
    <w:name w:val="Document Map"/>
    <w:qFormat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fc">
    <w:name w:val="Название"/>
    <w:basedOn w:val="a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customStyle="1" w:styleId="affd">
    <w:name w:val="Указатель"/>
    <w:basedOn w:val="a"/>
    <w:qFormat/>
    <w:rPr>
      <w:rFonts w:ascii="Times New Roman" w:hAnsi="Times New Roman" w:cs="Mangal"/>
    </w:rPr>
  </w:style>
  <w:style w:type="paragraph" w:customStyle="1" w:styleId="affe">
    <w:name w:val="Название объекта"/>
    <w:basedOn w:val="a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customStyle="1" w:styleId="afff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HTML2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28">
    <w:name w:val="Body Text Indent 2"/>
    <w:basedOn w:val="a"/>
    <w:qFormat/>
    <w:pPr>
      <w:spacing w:after="120" w:line="480" w:lineRule="auto"/>
      <w:ind w:left="283"/>
    </w:pPr>
  </w:style>
  <w:style w:type="paragraph" w:customStyle="1" w:styleId="29">
    <w:name w:val="Назва об'єкта2"/>
    <w:basedOn w:val="a"/>
    <w:qFormat/>
    <w:pPr>
      <w:spacing w:before="120" w:after="120"/>
    </w:pPr>
    <w:rPr>
      <w:i/>
      <w:iCs/>
    </w:rPr>
  </w:style>
  <w:style w:type="paragraph" w:customStyle="1" w:styleId="1c">
    <w:name w:val="Назва об'єкта1"/>
    <w:basedOn w:val="a"/>
    <w:qFormat/>
    <w:pPr>
      <w:spacing w:before="120" w:after="120"/>
    </w:pPr>
    <w:rPr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3086</Words>
  <Characters>1760</Characters>
  <Application>Microsoft Office Word</Application>
  <DocSecurity>0</DocSecurity>
  <Lines>14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ASKOD</dc:creator>
  <dc:description/>
  <cp:lastModifiedBy>Ірина Демидюк</cp:lastModifiedBy>
  <cp:revision>94</cp:revision>
  <cp:lastPrinted>2024-11-29T15:00:00Z</cp:lastPrinted>
  <dcterms:created xsi:type="dcterms:W3CDTF">2024-12-05T13:35:00Z</dcterms:created>
  <dcterms:modified xsi:type="dcterms:W3CDTF">2024-12-05T14:20:00Z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