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CBC" w:rsidRPr="005F6F6A" w:rsidRDefault="00B36CBC" w:rsidP="00B36CBC">
      <w:pPr>
        <w:pStyle w:val="a3"/>
        <w:spacing w:after="0" w:line="240" w:lineRule="auto"/>
        <w:ind w:left="5040"/>
        <w:rPr>
          <w:sz w:val="28"/>
          <w:szCs w:val="28"/>
        </w:rPr>
      </w:pPr>
      <w:r w:rsidRPr="005F6F6A">
        <w:rPr>
          <w:sz w:val="28"/>
          <w:szCs w:val="28"/>
        </w:rPr>
        <w:t>Додаток</w:t>
      </w:r>
    </w:p>
    <w:p w:rsidR="00B36CBC" w:rsidRPr="005F6F6A" w:rsidRDefault="00B36CBC" w:rsidP="00B36CBC">
      <w:pPr>
        <w:pStyle w:val="a3"/>
        <w:spacing w:after="0" w:line="240" w:lineRule="auto"/>
        <w:ind w:left="5040"/>
        <w:rPr>
          <w:sz w:val="28"/>
          <w:szCs w:val="28"/>
        </w:rPr>
      </w:pPr>
      <w:r w:rsidRPr="005F6F6A">
        <w:rPr>
          <w:sz w:val="28"/>
          <w:szCs w:val="28"/>
        </w:rPr>
        <w:t xml:space="preserve">до рішення </w:t>
      </w:r>
      <w:r>
        <w:rPr>
          <w:sz w:val="28"/>
          <w:szCs w:val="28"/>
        </w:rPr>
        <w:t>міської ради</w:t>
      </w:r>
    </w:p>
    <w:p w:rsidR="00B36CBC" w:rsidRDefault="00B36CBC" w:rsidP="00B36CBC">
      <w:pPr>
        <w:pStyle w:val="a3"/>
        <w:spacing w:after="0" w:line="240" w:lineRule="auto"/>
        <w:ind w:left="5040"/>
        <w:rPr>
          <w:color w:val="000000"/>
          <w:sz w:val="28"/>
          <w:szCs w:val="28"/>
        </w:rPr>
      </w:pPr>
      <w:r>
        <w:rPr>
          <w:color w:val="000000"/>
          <w:sz w:val="28"/>
          <w:szCs w:val="28"/>
        </w:rPr>
        <w:t>______________№__________</w:t>
      </w:r>
    </w:p>
    <w:p w:rsidR="00B36CBC" w:rsidRDefault="00B36CBC" w:rsidP="00B36CBC">
      <w:pPr>
        <w:pStyle w:val="a3"/>
        <w:spacing w:after="0" w:line="240" w:lineRule="auto"/>
        <w:ind w:left="5040"/>
        <w:rPr>
          <w:color w:val="000000"/>
          <w:sz w:val="28"/>
          <w:szCs w:val="28"/>
        </w:rPr>
      </w:pPr>
    </w:p>
    <w:p w:rsidR="00B36CBC" w:rsidRPr="00D40F91" w:rsidRDefault="00B36CBC" w:rsidP="00B36CBC">
      <w:pPr>
        <w:pStyle w:val="a3"/>
        <w:spacing w:after="0" w:line="240" w:lineRule="auto"/>
        <w:ind w:left="5040"/>
      </w:pPr>
    </w:p>
    <w:p w:rsidR="00B36CBC" w:rsidRPr="008A352D" w:rsidRDefault="00B36CBC" w:rsidP="00B36CBC">
      <w:pPr>
        <w:pStyle w:val="a3"/>
        <w:spacing w:after="0" w:line="240" w:lineRule="auto"/>
        <w:jc w:val="center"/>
        <w:rPr>
          <w:sz w:val="14"/>
          <w:szCs w:val="14"/>
        </w:rPr>
      </w:pPr>
    </w:p>
    <w:p w:rsidR="00B36CBC" w:rsidRPr="005F6F6A" w:rsidRDefault="00B36CBC" w:rsidP="00B36CBC">
      <w:pPr>
        <w:pStyle w:val="a3"/>
        <w:spacing w:after="0" w:line="240" w:lineRule="auto"/>
        <w:jc w:val="center"/>
        <w:rPr>
          <w:b/>
          <w:bCs/>
          <w:sz w:val="28"/>
          <w:szCs w:val="28"/>
        </w:rPr>
      </w:pPr>
      <w:r w:rsidRPr="005F6F6A">
        <w:rPr>
          <w:b/>
          <w:bCs/>
          <w:sz w:val="28"/>
          <w:szCs w:val="28"/>
        </w:rPr>
        <w:t>ПРОГРАМА</w:t>
      </w:r>
    </w:p>
    <w:p w:rsidR="00B36CBC" w:rsidRDefault="00B36CBC" w:rsidP="00B36CBC">
      <w:pPr>
        <w:pStyle w:val="a3"/>
        <w:spacing w:after="0" w:line="240" w:lineRule="auto"/>
        <w:jc w:val="center"/>
        <w:rPr>
          <w:b/>
          <w:bCs/>
          <w:sz w:val="28"/>
          <w:szCs w:val="28"/>
        </w:rPr>
      </w:pPr>
      <w:r w:rsidRPr="005F6F6A">
        <w:rPr>
          <w:b/>
          <w:bCs/>
          <w:sz w:val="28"/>
          <w:szCs w:val="28"/>
        </w:rPr>
        <w:t>забезпечення виконання рішень суду та виконавчих документів</w:t>
      </w:r>
    </w:p>
    <w:p w:rsidR="00B36CBC" w:rsidRPr="005F6F6A" w:rsidRDefault="00B36CBC" w:rsidP="00B36CBC">
      <w:pPr>
        <w:pStyle w:val="a3"/>
        <w:spacing w:after="0" w:line="240" w:lineRule="auto"/>
        <w:jc w:val="center"/>
        <w:rPr>
          <w:b/>
          <w:bCs/>
          <w:sz w:val="28"/>
          <w:szCs w:val="28"/>
        </w:rPr>
      </w:pPr>
      <w:r>
        <w:rPr>
          <w:b/>
          <w:bCs/>
          <w:sz w:val="28"/>
          <w:szCs w:val="28"/>
        </w:rPr>
        <w:t>на 2024-2026</w:t>
      </w:r>
      <w:r w:rsidRPr="005F6F6A">
        <w:rPr>
          <w:b/>
          <w:bCs/>
          <w:sz w:val="28"/>
          <w:szCs w:val="28"/>
        </w:rPr>
        <w:t xml:space="preserve"> роки</w:t>
      </w:r>
    </w:p>
    <w:p w:rsidR="00B36CBC" w:rsidRPr="0062085A" w:rsidRDefault="00B36CBC" w:rsidP="00B36CBC">
      <w:pPr>
        <w:pStyle w:val="a3"/>
        <w:spacing w:after="0" w:line="240" w:lineRule="auto"/>
        <w:jc w:val="center"/>
      </w:pPr>
    </w:p>
    <w:p w:rsidR="00B36CBC" w:rsidRDefault="00B36CBC" w:rsidP="00B36CBC">
      <w:pPr>
        <w:pStyle w:val="a3"/>
        <w:spacing w:after="0" w:line="240" w:lineRule="auto"/>
        <w:ind w:left="-284"/>
        <w:jc w:val="center"/>
        <w:rPr>
          <w:sz w:val="28"/>
          <w:szCs w:val="28"/>
        </w:rPr>
      </w:pPr>
      <w:r w:rsidRPr="00970FEB">
        <w:rPr>
          <w:sz w:val="28"/>
          <w:szCs w:val="28"/>
        </w:rPr>
        <w:t>ПАСПОРТ ПРОГРАМИ</w:t>
      </w:r>
    </w:p>
    <w:p w:rsidR="00B36CBC" w:rsidRPr="00970FEB" w:rsidRDefault="00B36CBC" w:rsidP="00B36CBC">
      <w:pPr>
        <w:pStyle w:val="a3"/>
        <w:spacing w:after="0" w:line="240" w:lineRule="auto"/>
        <w:jc w:val="center"/>
        <w:rPr>
          <w:sz w:val="28"/>
          <w:szCs w:val="28"/>
        </w:rPr>
      </w:pPr>
    </w:p>
    <w:tbl>
      <w:tblPr>
        <w:tblW w:w="9434" w:type="dxa"/>
        <w:tblInd w:w="-106" w:type="dxa"/>
        <w:tblLayout w:type="fixed"/>
        <w:tblLook w:val="00A0" w:firstRow="1" w:lastRow="0" w:firstColumn="1" w:lastColumn="0" w:noHBand="0" w:noVBand="0"/>
      </w:tblPr>
      <w:tblGrid>
        <w:gridCol w:w="720"/>
        <w:gridCol w:w="4172"/>
        <w:gridCol w:w="4542"/>
      </w:tblGrid>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1</w:t>
            </w:r>
            <w:r>
              <w:t>.</w:t>
            </w: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pPr>
              <w:ind w:right="-108"/>
            </w:pPr>
            <w:r>
              <w:t>Ініціатор розроблення Програми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both"/>
            </w:pPr>
            <w:r>
              <w:t>Луцька міська рада, Виконавчий комітет Луцької міської ради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2</w:t>
            </w:r>
            <w:r>
              <w:t>.</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ind w:right="-108"/>
              <w:rPr>
                <w:lang w:val="ru-RU"/>
              </w:rPr>
            </w:pPr>
            <w:r w:rsidRPr="00D40F91">
              <w:t>Дата, номер і назва документа</w:t>
            </w:r>
            <w:r>
              <w:t xml:space="preserve"> органу виконавчої влади</w:t>
            </w:r>
            <w:r w:rsidRPr="00D40F91">
              <w:t xml:space="preserve"> про розроблення </w:t>
            </w:r>
            <w:r>
              <w:t>П</w:t>
            </w:r>
            <w:r w:rsidRPr="00D40F91">
              <w:t>рограми</w:t>
            </w:r>
          </w:p>
          <w:p w:rsidR="00B36CBC" w:rsidRPr="00FC082F" w:rsidRDefault="00B36CBC" w:rsidP="0098717A">
            <w:pPr>
              <w:ind w:right="-108"/>
              <w:rPr>
                <w:lang w:val="ru-RU"/>
              </w:rPr>
            </w:pP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pStyle w:val="a5"/>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3</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 xml:space="preserve">Розробник </w:t>
            </w:r>
            <w:r>
              <w:t>П</w:t>
            </w:r>
            <w:r w:rsidRPr="00D40F91">
              <w:t>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1B3D91">
            <w:pPr>
              <w:jc w:val="center"/>
            </w:pPr>
            <w:r w:rsidRPr="00D40F91">
              <w:t>Департамент</w:t>
            </w:r>
            <w:r w:rsidR="001B3D91">
              <w:t xml:space="preserve"> соціальної </w:t>
            </w:r>
            <w:r w:rsidRPr="00D40F91">
              <w:t>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4</w:t>
            </w:r>
            <w:r>
              <w:t>.</w:t>
            </w:r>
          </w:p>
        </w:tc>
        <w:tc>
          <w:tcPr>
            <w:tcW w:w="4172" w:type="dxa"/>
            <w:tcBorders>
              <w:top w:val="single" w:sz="4" w:space="0" w:color="000000"/>
              <w:left w:val="single" w:sz="4" w:space="0" w:color="000000"/>
              <w:bottom w:val="single" w:sz="4" w:space="0" w:color="000000"/>
              <w:right w:val="nil"/>
            </w:tcBorders>
          </w:tcPr>
          <w:p w:rsidR="00B36CBC" w:rsidRDefault="00B36CBC" w:rsidP="0098717A">
            <w:r>
              <w:t>Співрозробники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rsidRPr="00D40F91">
              <w:t>5</w:t>
            </w:r>
            <w:r>
              <w:t>.</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t>Відповідальний виконавець П</w:t>
            </w:r>
            <w:r w:rsidRPr="00D40F91">
              <w:t>рограми</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A67FD5" w:rsidP="001B3D91">
            <w:pPr>
              <w:jc w:val="center"/>
            </w:pPr>
            <w:r w:rsidRPr="00D40F91">
              <w:t>Департамент</w:t>
            </w:r>
            <w:r w:rsidR="001B3D91">
              <w:t> соціальної</w:t>
            </w:r>
            <w:r>
              <w:t xml:space="preserve"> </w:t>
            </w:r>
            <w:r w:rsidRPr="00D40F91">
              <w:t>політики</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6.</w:t>
            </w:r>
          </w:p>
          <w:p w:rsidR="00B36CBC" w:rsidRPr="00D40F91" w:rsidRDefault="00B36CBC" w:rsidP="0098717A">
            <w:pPr>
              <w:ind w:right="-108"/>
              <w:jc w:val="center"/>
            </w:pPr>
          </w:p>
        </w:tc>
        <w:tc>
          <w:tcPr>
            <w:tcW w:w="4172" w:type="dxa"/>
            <w:tcBorders>
              <w:top w:val="single" w:sz="4" w:space="0" w:color="000000"/>
              <w:left w:val="single" w:sz="4" w:space="0" w:color="000000"/>
              <w:bottom w:val="single" w:sz="4" w:space="0" w:color="000000"/>
              <w:right w:val="nil"/>
            </w:tcBorders>
          </w:tcPr>
          <w:p w:rsidR="00B36CBC" w:rsidRPr="00D40F91" w:rsidRDefault="00B36CBC" w:rsidP="0098717A">
            <w:r>
              <w:t xml:space="preserve">Учасники Програми </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w:t>
            </w: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right="-108"/>
              <w:jc w:val="center"/>
            </w:pPr>
            <w:r>
              <w:t>7.</w:t>
            </w:r>
          </w:p>
        </w:tc>
        <w:tc>
          <w:tcPr>
            <w:tcW w:w="4172" w:type="dxa"/>
            <w:tcBorders>
              <w:top w:val="single" w:sz="4" w:space="0" w:color="000000"/>
              <w:left w:val="single" w:sz="4" w:space="0" w:color="000000"/>
              <w:bottom w:val="single" w:sz="4" w:space="0" w:color="000000"/>
              <w:right w:val="nil"/>
            </w:tcBorders>
          </w:tcPr>
          <w:p w:rsidR="00B36CBC" w:rsidRDefault="00B36CBC" w:rsidP="0098717A">
            <w:r w:rsidRPr="00D40F91">
              <w:t>Термін реалізації Програми</w:t>
            </w:r>
          </w:p>
          <w:p w:rsidR="00B36CBC" w:rsidRPr="00D40F91"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jc w:val="center"/>
            </w:pPr>
            <w:r>
              <w:t>2024 – 2026</w:t>
            </w:r>
            <w:r w:rsidRPr="00D40F91">
              <w:t xml:space="preserve"> роки</w:t>
            </w:r>
          </w:p>
        </w:tc>
      </w:tr>
      <w:tr w:rsidR="00B36CBC" w:rsidRPr="00D40F91" w:rsidTr="0098717A">
        <w:trPr>
          <w:trHeight w:val="367"/>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snapToGrid w:val="0"/>
              <w:ind w:left="180" w:right="-108"/>
            </w:pPr>
            <w:r>
              <w:t>8.</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pPr>
              <w:rPr>
                <w:lang w:val="ru-RU"/>
              </w:rPr>
            </w:pPr>
            <w:r w:rsidRPr="00D40F91">
              <w:t>Загальний обсяг фінансових ресурсів, необхідних для реалізації Програми</w:t>
            </w:r>
            <w:r>
              <w:t>, всього</w:t>
            </w:r>
          </w:p>
          <w:p w:rsidR="00B36CBC" w:rsidRPr="00B36CBC" w:rsidRDefault="00B36CBC" w:rsidP="0098717A">
            <w:pPr>
              <w:rPr>
                <w:lang w:val="ru-RU"/>
              </w:rPr>
            </w:pPr>
          </w:p>
        </w:tc>
        <w:tc>
          <w:tcPr>
            <w:tcW w:w="4542" w:type="dxa"/>
            <w:tcBorders>
              <w:top w:val="single" w:sz="4" w:space="0" w:color="000000"/>
              <w:left w:val="single" w:sz="4" w:space="0" w:color="000000"/>
              <w:bottom w:val="single" w:sz="4" w:space="0" w:color="000000"/>
              <w:right w:val="single" w:sz="4" w:space="0" w:color="000000"/>
            </w:tcBorders>
            <w:vAlign w:val="bottom"/>
          </w:tcPr>
          <w:p w:rsidR="00B36CBC" w:rsidRPr="003D0546" w:rsidRDefault="00B36CBC" w:rsidP="0098717A">
            <w:pPr>
              <w:pStyle w:val="a3"/>
              <w:snapToGrid w:val="0"/>
              <w:spacing w:after="0" w:line="240" w:lineRule="auto"/>
              <w:jc w:val="center"/>
              <w:rPr>
                <w:sz w:val="28"/>
                <w:szCs w:val="28"/>
              </w:rPr>
            </w:pPr>
            <w:r w:rsidRPr="003D0546">
              <w:rPr>
                <w:sz w:val="28"/>
                <w:szCs w:val="28"/>
              </w:rPr>
              <w:t>30,0 тис. грн</w:t>
            </w:r>
          </w:p>
        </w:tc>
      </w:tr>
      <w:tr w:rsidR="00B36CBC" w:rsidRPr="00D40F91" w:rsidTr="0098717A">
        <w:trPr>
          <w:trHeight w:val="303"/>
        </w:trPr>
        <w:tc>
          <w:tcPr>
            <w:tcW w:w="4892" w:type="dxa"/>
            <w:gridSpan w:val="2"/>
            <w:tcBorders>
              <w:top w:val="single" w:sz="4" w:space="0" w:color="000000"/>
              <w:left w:val="single" w:sz="4" w:space="0" w:color="000000"/>
              <w:bottom w:val="single" w:sz="4" w:space="0" w:color="000000"/>
              <w:right w:val="nil"/>
            </w:tcBorders>
          </w:tcPr>
          <w:p w:rsidR="00B36CBC" w:rsidRPr="00D40F91" w:rsidRDefault="00B36CBC" w:rsidP="0098717A">
            <w:pPr>
              <w:ind w:left="673"/>
            </w:pPr>
            <w:r w:rsidRPr="00D40F91">
              <w:t>у тому числі:</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p>
        </w:tc>
      </w:tr>
      <w:tr w:rsidR="00B36CBC" w:rsidRPr="00D40F91" w:rsidTr="0098717A">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8.1</w:t>
            </w:r>
            <w:r w:rsidRPr="00D40F91">
              <w:t>.</w:t>
            </w:r>
          </w:p>
        </w:tc>
        <w:tc>
          <w:tcPr>
            <w:tcW w:w="4172" w:type="dxa"/>
            <w:tcBorders>
              <w:top w:val="single" w:sz="4" w:space="0" w:color="000000"/>
              <w:left w:val="single" w:sz="4" w:space="0" w:color="000000"/>
              <w:bottom w:val="single" w:sz="4" w:space="0" w:color="000000"/>
              <w:right w:val="nil"/>
            </w:tcBorders>
          </w:tcPr>
          <w:p w:rsidR="00B36CBC" w:rsidRPr="00B36CBC" w:rsidRDefault="00B36CBC" w:rsidP="0098717A">
            <w:r w:rsidRPr="00D40F91">
              <w:t>коштів бюджету Луцької міської територіальної громади</w:t>
            </w:r>
          </w:p>
          <w:p w:rsidR="00B36CBC" w:rsidRPr="00B36CBC" w:rsidRDefault="00B36CBC" w:rsidP="0098717A"/>
        </w:tc>
        <w:tc>
          <w:tcPr>
            <w:tcW w:w="4542" w:type="dxa"/>
            <w:tcBorders>
              <w:top w:val="single" w:sz="4" w:space="0" w:color="000000"/>
              <w:left w:val="single" w:sz="4" w:space="0" w:color="000000"/>
              <w:bottom w:val="single" w:sz="4" w:space="0" w:color="000000"/>
              <w:right w:val="single" w:sz="4" w:space="0" w:color="000000"/>
            </w:tcBorders>
          </w:tcPr>
          <w:p w:rsidR="00B36CBC" w:rsidRPr="003D0546" w:rsidRDefault="00B36CBC" w:rsidP="0098717A">
            <w:pPr>
              <w:pStyle w:val="a3"/>
              <w:snapToGrid w:val="0"/>
              <w:spacing w:after="0" w:line="240" w:lineRule="auto"/>
              <w:jc w:val="center"/>
              <w:rPr>
                <w:sz w:val="28"/>
                <w:szCs w:val="28"/>
              </w:rPr>
            </w:pPr>
            <w:r w:rsidRPr="003D0546">
              <w:rPr>
                <w:sz w:val="28"/>
                <w:szCs w:val="28"/>
              </w:rPr>
              <w:t>30,0 тис. грн</w:t>
            </w:r>
          </w:p>
        </w:tc>
      </w:tr>
      <w:tr w:rsidR="00B36CBC" w:rsidRPr="00D40F91" w:rsidTr="0098717A">
        <w:trPr>
          <w:trHeight w:val="411"/>
        </w:trPr>
        <w:tc>
          <w:tcPr>
            <w:tcW w:w="720" w:type="dxa"/>
            <w:tcBorders>
              <w:top w:val="single" w:sz="4" w:space="0" w:color="000000"/>
              <w:left w:val="single" w:sz="4" w:space="0" w:color="000000"/>
              <w:bottom w:val="single" w:sz="4" w:space="0" w:color="000000"/>
              <w:right w:val="nil"/>
            </w:tcBorders>
          </w:tcPr>
          <w:p w:rsidR="00B36CBC" w:rsidRPr="00D40F91" w:rsidRDefault="00B36CBC" w:rsidP="0098717A">
            <w:pPr>
              <w:ind w:left="-108" w:right="-108"/>
              <w:jc w:val="center"/>
            </w:pPr>
            <w:r>
              <w:t>8.2</w:t>
            </w:r>
          </w:p>
        </w:tc>
        <w:tc>
          <w:tcPr>
            <w:tcW w:w="4172" w:type="dxa"/>
            <w:tcBorders>
              <w:top w:val="single" w:sz="4" w:space="0" w:color="000000"/>
              <w:left w:val="single" w:sz="4" w:space="0" w:color="000000"/>
              <w:bottom w:val="single" w:sz="4" w:space="0" w:color="000000"/>
              <w:right w:val="nil"/>
            </w:tcBorders>
          </w:tcPr>
          <w:p w:rsidR="00B36CBC" w:rsidRPr="00FC082F" w:rsidRDefault="00B36CBC" w:rsidP="0098717A">
            <w:pPr>
              <w:rPr>
                <w:lang w:val="en-US"/>
              </w:rPr>
            </w:pPr>
            <w:r w:rsidRPr="00D40F91">
              <w:t>коштів інших джерел</w:t>
            </w:r>
          </w:p>
        </w:tc>
        <w:tc>
          <w:tcPr>
            <w:tcW w:w="4542" w:type="dxa"/>
            <w:tcBorders>
              <w:top w:val="single" w:sz="4" w:space="0" w:color="000000"/>
              <w:left w:val="single" w:sz="4" w:space="0" w:color="000000"/>
              <w:bottom w:val="single" w:sz="4" w:space="0" w:color="000000"/>
              <w:right w:val="single" w:sz="4" w:space="0" w:color="000000"/>
            </w:tcBorders>
          </w:tcPr>
          <w:p w:rsidR="00B36CBC" w:rsidRPr="00D40F91" w:rsidRDefault="00B36CBC" w:rsidP="0098717A">
            <w:pPr>
              <w:snapToGrid w:val="0"/>
              <w:jc w:val="center"/>
            </w:pPr>
            <w:r>
              <w:t>–</w:t>
            </w:r>
          </w:p>
        </w:tc>
      </w:tr>
    </w:tbl>
    <w:p w:rsidR="00B36CBC" w:rsidRDefault="00B36CBC" w:rsidP="00B36CBC">
      <w:pPr>
        <w:ind w:right="140"/>
        <w:jc w:val="both"/>
        <w:rPr>
          <w:sz w:val="24"/>
          <w:szCs w:val="24"/>
        </w:rPr>
      </w:pPr>
    </w:p>
    <w:p w:rsidR="00E261B6" w:rsidRDefault="00E261B6" w:rsidP="00B36CBC">
      <w:pPr>
        <w:ind w:right="140"/>
        <w:jc w:val="both"/>
        <w:rPr>
          <w:sz w:val="24"/>
          <w:szCs w:val="24"/>
        </w:rPr>
      </w:pPr>
    </w:p>
    <w:p w:rsidR="004846CD" w:rsidRDefault="004846CD" w:rsidP="00B36CBC">
      <w:pPr>
        <w:ind w:right="140"/>
        <w:jc w:val="both"/>
        <w:rPr>
          <w:sz w:val="24"/>
          <w:szCs w:val="24"/>
        </w:rPr>
      </w:pPr>
    </w:p>
    <w:p w:rsidR="004846CD" w:rsidRDefault="004846CD" w:rsidP="00B36CBC">
      <w:pPr>
        <w:ind w:right="140"/>
        <w:jc w:val="both"/>
        <w:rPr>
          <w:sz w:val="24"/>
          <w:szCs w:val="24"/>
        </w:rPr>
      </w:pPr>
    </w:p>
    <w:p w:rsidR="004846CD" w:rsidRDefault="004846CD" w:rsidP="00B36CBC">
      <w:pPr>
        <w:ind w:right="140"/>
        <w:jc w:val="both"/>
        <w:rPr>
          <w:sz w:val="24"/>
          <w:szCs w:val="24"/>
        </w:rPr>
      </w:pPr>
    </w:p>
    <w:p w:rsidR="00B36CBC" w:rsidRPr="00B47841" w:rsidRDefault="00B36CBC" w:rsidP="00B36CBC">
      <w:pPr>
        <w:ind w:right="140"/>
        <w:jc w:val="both"/>
        <w:rPr>
          <w:sz w:val="24"/>
          <w:szCs w:val="24"/>
        </w:rPr>
      </w:pPr>
      <w:r>
        <w:rPr>
          <w:sz w:val="24"/>
          <w:szCs w:val="24"/>
        </w:rPr>
        <w:t>Майборода</w:t>
      </w:r>
      <w:r w:rsidRPr="00B47841">
        <w:rPr>
          <w:sz w:val="24"/>
          <w:szCs w:val="24"/>
        </w:rPr>
        <w:t xml:space="preserve"> 284</w:t>
      </w:r>
      <w:r w:rsidR="001B3D91">
        <w:rPr>
          <w:sz w:val="24"/>
          <w:szCs w:val="24"/>
        </w:rPr>
        <w:t> </w:t>
      </w:r>
      <w:r>
        <w:rPr>
          <w:sz w:val="24"/>
          <w:szCs w:val="24"/>
        </w:rPr>
        <w:t>177</w:t>
      </w:r>
    </w:p>
    <w:p w:rsidR="00B36CBC" w:rsidRDefault="00B36CBC"/>
    <w:p w:rsidR="001B3D91" w:rsidRDefault="001B3D91"/>
    <w:p w:rsidR="001B3D91" w:rsidRPr="001B3D91" w:rsidRDefault="001B3D91"/>
    <w:p w:rsidR="00A67FD5" w:rsidRPr="00A67FD5" w:rsidRDefault="00A67FD5" w:rsidP="00A67FD5">
      <w:pPr>
        <w:jc w:val="center"/>
        <w:rPr>
          <w:b/>
          <w:lang w:val="ru-RU"/>
        </w:rPr>
      </w:pPr>
      <w:r w:rsidRPr="00A67FD5">
        <w:rPr>
          <w:b/>
          <w:lang w:val="ru-RU"/>
        </w:rPr>
        <w:lastRenderedPageBreak/>
        <w:t>1. Визначення проблем, на розв’язання яких спрямована Програма</w:t>
      </w:r>
    </w:p>
    <w:p w:rsidR="00A67FD5" w:rsidRPr="00A67FD5" w:rsidRDefault="00A67FD5" w:rsidP="00A67FD5">
      <w:pPr>
        <w:ind w:firstLine="567"/>
        <w:jc w:val="both"/>
        <w:rPr>
          <w:lang w:val="ru-RU"/>
        </w:rPr>
      </w:pPr>
    </w:p>
    <w:p w:rsidR="00A67FD5" w:rsidRPr="00A67FD5" w:rsidRDefault="00A67FD5" w:rsidP="00A67FD5">
      <w:pPr>
        <w:ind w:firstLine="567"/>
        <w:jc w:val="both"/>
        <w:rPr>
          <w:lang w:val="ru-RU"/>
        </w:rPr>
      </w:pPr>
      <w:r w:rsidRPr="00A67FD5">
        <w:rPr>
          <w:lang w:val="ru-RU"/>
        </w:rPr>
        <w:t>Виконання судових рішень є найвагомішим показником реального та належного захисту порушених прав, свобод та інтересів особи та невід’ємною складовою права на справедливий суд.</w:t>
      </w:r>
    </w:p>
    <w:p w:rsidR="00A67FD5" w:rsidRPr="00A67FD5" w:rsidRDefault="00A67FD5" w:rsidP="00A67FD5">
      <w:pPr>
        <w:ind w:firstLine="567"/>
        <w:jc w:val="both"/>
      </w:pPr>
      <w:r w:rsidRPr="00A67FD5">
        <w:rPr>
          <w:lang w:val="ru-RU"/>
        </w:rPr>
        <w:t>Згідно зі ст. 129-1 Конституції України, ч. 2 та 4 ст. 13 Закону України «Про судоустрій та статус суддів», ст. 18 Цивільного процесуального кодексу України, ст. 18 Господарського процесуального кодексу України та ст. 14 Кодексу адміністративного судочинства України судові рішення, що набрали законної сили, є обов’язковими до виконання всіма органами державної влади, органами місцевого самоврядування, їх посадовими та</w:t>
      </w:r>
      <w:r w:rsidRPr="00A67FD5">
        <w:t xml:space="preserve"> службовими</w:t>
      </w:r>
      <w:r w:rsidRPr="00A67FD5">
        <w:rPr>
          <w:lang w:val="ru-RU"/>
        </w:rPr>
        <w:t xml:space="preserve"> особами, фізичними і юридичними особами та їх об’єднаннями на всій території України.</w:t>
      </w:r>
    </w:p>
    <w:p w:rsidR="00A67FD5" w:rsidRPr="009628E9" w:rsidRDefault="00A67FD5" w:rsidP="00A67FD5">
      <w:pPr>
        <w:ind w:firstLine="567"/>
        <w:jc w:val="both"/>
      </w:pPr>
      <w:r w:rsidRPr="00A67FD5">
        <w:t>Наслідком</w:t>
      </w:r>
      <w:r w:rsidRPr="009628E9">
        <w:t xml:space="preserve"> невиконання чи несвоєчасне виконання судових рішень є настання юридичної відповідальності, застосування до боржників та їх посадових осіб визначених чинним законодавством заходів примусового впливу (стягнення виконавчого збору, блокування рахунків, арешт майна, накладення штрафів, притягнення до дисциплінарної, адміністративної та кримінальної відповідальності тощо). </w:t>
      </w:r>
    </w:p>
    <w:p w:rsidR="00A67FD5" w:rsidRPr="001362B6" w:rsidRDefault="00A67FD5" w:rsidP="00A67FD5">
      <w:pPr>
        <w:ind w:firstLine="567"/>
        <w:jc w:val="both"/>
      </w:pPr>
      <w:r w:rsidRPr="001362B6">
        <w:t>Департамент соціальної політики здійснює більшість виплат громадянам за рахунок державного бюджету, проте через неузгодженість між розмірами соціальних виплат, передбачених різними законами і розписом асигнувань державного бюджету на них, стає мимоволі боржником за рішеннями судів та/або виконавчих документів про стягнення за зобов’язаннями держави.</w:t>
      </w:r>
    </w:p>
    <w:p w:rsidR="00A67FD5" w:rsidRPr="001362B6" w:rsidRDefault="00A67FD5" w:rsidP="00A67FD5">
      <w:pPr>
        <w:ind w:firstLine="567"/>
        <w:jc w:val="both"/>
      </w:pPr>
      <w:r w:rsidRPr="001362B6">
        <w:t>Незабезпечення фінансовими ресурсами реальної потреби в бюджетних коштах на виконання рішень суду, що гарантовані державою, призводить до щорічного збільшення заборгованості, що підлягає безспірному стягненню за судовими рішеннями та виконавчими документами, боржниками за якими є департамент соціальної політики, що підвищує соціальну напругу, зменшує кредит довіри суб’єктів господарювання та громадян до органів місцевого самоврядування та ефективного правосуддя.</w:t>
      </w:r>
    </w:p>
    <w:p w:rsidR="00A67FD5" w:rsidRPr="00A67FD5" w:rsidRDefault="00A67FD5" w:rsidP="00A67FD5">
      <w:pPr>
        <w:ind w:firstLine="567"/>
        <w:jc w:val="both"/>
        <w:rPr>
          <w:lang w:val="ru-RU"/>
        </w:rPr>
      </w:pPr>
      <w:r w:rsidRPr="001362B6">
        <w:t xml:space="preserve">Як зазначалося, одним із заходів примусового виконання рішень суду та виконавчих документів є блокування рахунків боржника, шляхом накладення арешту на кошти та/або безспірне списання коштів державного бюджету (місцевих бюджетів). </w:t>
      </w:r>
      <w:r w:rsidRPr="00A67FD5">
        <w:rPr>
          <w:lang w:val="ru-RU"/>
        </w:rPr>
        <w:t>Блокування рахунків, у даному випадку, не вирішує питання погашення боргів через відсутність коштів на зазначені цілі.</w:t>
      </w:r>
    </w:p>
    <w:p w:rsidR="00A67FD5" w:rsidRPr="00A67FD5" w:rsidRDefault="00A67FD5" w:rsidP="00A67FD5">
      <w:pPr>
        <w:ind w:firstLine="567"/>
        <w:jc w:val="both"/>
        <w:rPr>
          <w:lang w:val="ru-RU"/>
        </w:rPr>
      </w:pPr>
      <w:r w:rsidRPr="00A67FD5">
        <w:rPr>
          <w:lang w:val="ru-RU"/>
        </w:rPr>
        <w:t xml:space="preserve">Згідно з п.п.1 п. 9 Прикінцевих та перехідних положень Бюджетного кодексу України, рішення суду про стягнення (арешт) коштів державного бюджету (місцевих бюджетів) виконується виключно Казначейством України. Безспірне списання коштів державного бюджету (місцевих бюджетів) здійснюється Казначейством України у порядку, встановленому Кабінетом Міністрів України, за черговістю надходження таких рішень, щодо видатків бюджету – в межах відповідних бюджетних призначень та наданих бюджетних асигнувань. Механізм виконання рішень про стягнення коштів державного та </w:t>
      </w:r>
      <w:r w:rsidRPr="00A67FD5">
        <w:rPr>
          <w:lang w:val="ru-RU"/>
        </w:rPr>
        <w:lastRenderedPageBreak/>
        <w:t xml:space="preserve">місцевих бюджетів або боржників, прийнятих судами, а також іншими органами (посадовими особами), які відповідно до закону мають право приймати такі рішення, визначено Порядком виконання рішень про стягнення коштів державного та місцевих бюджетів або боржників, який затверджений постановою Кабінету Міністрів України від 03.08.2011 № 845, зі змінами (далі – Порядок). </w:t>
      </w:r>
    </w:p>
    <w:p w:rsidR="00A67FD5" w:rsidRPr="00A67FD5" w:rsidRDefault="00A67FD5" w:rsidP="00A67FD5">
      <w:pPr>
        <w:ind w:firstLine="567"/>
        <w:jc w:val="both"/>
        <w:rPr>
          <w:lang w:val="ru-RU"/>
        </w:rPr>
      </w:pPr>
      <w:r w:rsidRPr="00A67FD5">
        <w:rPr>
          <w:lang w:val="ru-RU"/>
        </w:rPr>
        <w:t xml:space="preserve">Положеннями Порядку передбачено можливість прийняття органами місцевого самоврядування окремої бюджетної програми для забезпечення виконання рішень суду. У разі наявності у боржника або головного розпорядника бюджетних коштів окремої бюджетної програми для забезпечення виконання рішень суду, безспірне списання коштів здійснюється лише за цією бюджетною програмою. </w:t>
      </w:r>
    </w:p>
    <w:p w:rsidR="00A67FD5" w:rsidRPr="00A67FD5" w:rsidRDefault="00A67FD5" w:rsidP="00A67FD5">
      <w:pPr>
        <w:ind w:firstLine="567"/>
        <w:jc w:val="both"/>
        <w:rPr>
          <w:lang w:val="ru-RU"/>
        </w:rPr>
      </w:pPr>
      <w:r w:rsidRPr="00A67FD5">
        <w:rPr>
          <w:lang w:val="ru-RU"/>
        </w:rPr>
        <w:t>Наявність даної програми забезпечить безперебійність роботи департаменту соціальної політики та збереження коштів місцевого бюджету, виділених на конкретні цілі.</w:t>
      </w:r>
    </w:p>
    <w:p w:rsidR="00A67FD5" w:rsidRPr="00A67FD5" w:rsidRDefault="00A67FD5" w:rsidP="00A67FD5">
      <w:pPr>
        <w:ind w:firstLine="567"/>
        <w:jc w:val="both"/>
        <w:rPr>
          <w:lang w:val="ru-RU"/>
        </w:rPr>
      </w:pPr>
      <w:r w:rsidRPr="00A67FD5">
        <w:rPr>
          <w:lang w:val="ru-RU"/>
        </w:rPr>
        <w:t>Отже, найбільш дієвим та доцільним механізмом вирішення проблеми виконання рішень судів та виконавчих документів про стягнення к</w:t>
      </w:r>
      <w:r w:rsidR="001B3D91">
        <w:rPr>
          <w:lang w:val="ru-RU"/>
        </w:rPr>
        <w:t xml:space="preserve">оштів з департаменту соціальної </w:t>
      </w:r>
      <w:r w:rsidRPr="00A67FD5">
        <w:rPr>
          <w:lang w:val="ru-RU"/>
        </w:rPr>
        <w:t>політики, в тому числі і за зобов’язаннями держави, є затвердження окремої Програми забезпечення виконання рішень суду на 202</w:t>
      </w:r>
      <w:r>
        <w:rPr>
          <w:lang w:val="ru-RU"/>
        </w:rPr>
        <w:t>4–2026</w:t>
      </w:r>
      <w:r w:rsidRPr="00A67FD5">
        <w:rPr>
          <w:lang w:val="ru-RU"/>
        </w:rPr>
        <w:t xml:space="preserve"> роки (далі – Програма).</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2. Визначення мети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Метою цієї Програми є забезпечення виконання грошових зобов’язань, які виникли на підставі судових рішень про стягнення коштів, незабезпечених фінансуванням за кошти державного та місцевого бюджетів, боржником за якими є департамент соціальної</w:t>
      </w:r>
      <w:r>
        <w:rPr>
          <w:lang w:val="ru-RU"/>
        </w:rPr>
        <w:t xml:space="preserve"> </w:t>
      </w:r>
      <w:r w:rsidRPr="00A67FD5">
        <w:rPr>
          <w:lang w:val="ru-RU"/>
        </w:rPr>
        <w:t xml:space="preserve">політики. </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3. Обґрунтування шляхів і засобів розв’язання проблеми, обсягів та джерел фінансування, строки виконання завдань, заходів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 xml:space="preserve">Фінансування заходів Програми здійснюється за рахунок коштів бюджету Луцької міської територіальної громади (в межах коштів, передбачених на відповідний бюджетний період) в залежності від надходження рішень суду, що набрали законної сили та взяті до виконання органом державної казначейської служби України, щодо безспірного списання коштів бюджету Луцької міської територіальної громади, боржником по яких є департамент соціальної політики. </w:t>
      </w:r>
    </w:p>
    <w:p w:rsidR="00A67FD5" w:rsidRPr="00A67FD5" w:rsidRDefault="00A67FD5" w:rsidP="00A67FD5">
      <w:pPr>
        <w:ind w:firstLine="567"/>
        <w:jc w:val="both"/>
        <w:rPr>
          <w:lang w:val="ru-RU"/>
        </w:rPr>
      </w:pPr>
      <w:r w:rsidRPr="00A67FD5">
        <w:rPr>
          <w:lang w:val="ru-RU"/>
        </w:rPr>
        <w:t xml:space="preserve">Погашення заборгованості за судовими рішеннями здійснюється в межах відповідних бюджетних призначень та наданих бюджетних асигнувань по мірі надходження фінансування шляхом безспірного списання у встановленому порядку органом державної казначейської служби України коштів з рахунків боржника на користь стягувачів. </w:t>
      </w:r>
    </w:p>
    <w:p w:rsidR="00A67FD5" w:rsidRPr="00A67FD5" w:rsidRDefault="00A67FD5" w:rsidP="00A67FD5">
      <w:pPr>
        <w:ind w:firstLine="567"/>
        <w:jc w:val="both"/>
        <w:rPr>
          <w:lang w:val="ru-RU"/>
        </w:rPr>
      </w:pPr>
      <w:r w:rsidRPr="00A67FD5">
        <w:rPr>
          <w:lang w:val="ru-RU"/>
        </w:rPr>
        <w:t>Виконання Програми</w:t>
      </w:r>
      <w:r>
        <w:rPr>
          <w:lang w:val="ru-RU"/>
        </w:rPr>
        <w:t xml:space="preserve"> здійснюватиметься протягом 2024–2026</w:t>
      </w:r>
      <w:r w:rsidRPr="00A67FD5">
        <w:rPr>
          <w:lang w:val="ru-RU"/>
        </w:rPr>
        <w:t xml:space="preserve"> років.</w:t>
      </w:r>
    </w:p>
    <w:p w:rsidR="00A67FD5" w:rsidRPr="00A67FD5" w:rsidRDefault="00A67FD5" w:rsidP="00E261B6">
      <w:pPr>
        <w:ind w:firstLine="567"/>
        <w:jc w:val="both"/>
        <w:rPr>
          <w:lang w:val="ru-RU"/>
        </w:rPr>
      </w:pPr>
      <w:r w:rsidRPr="00A67FD5">
        <w:rPr>
          <w:lang w:val="ru-RU"/>
        </w:rPr>
        <w:t>Ресурсне забезпечення Програми наведене у додатку 1 до Програми.</w:t>
      </w:r>
    </w:p>
    <w:p w:rsidR="00A67FD5" w:rsidRPr="00A67FD5" w:rsidRDefault="00A67FD5" w:rsidP="00A67FD5">
      <w:pPr>
        <w:jc w:val="center"/>
        <w:rPr>
          <w:b/>
          <w:lang w:val="ru-RU"/>
        </w:rPr>
      </w:pPr>
      <w:r w:rsidRPr="00A67FD5">
        <w:rPr>
          <w:b/>
          <w:lang w:val="ru-RU"/>
        </w:rPr>
        <w:lastRenderedPageBreak/>
        <w:t>4. Перелік завдань і заходів Програми, напрями використання бюджетних коштів та результативні показники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Завданням Програми є вирішення питання щодо погашення заборгованості за судовими рішеннями та виконавчими документами про стягнення коштів з департаменту соціальної політики, шляхом спрямування бюджетних коштів на рахунки боржників та подальшим їх списанням з рахунків у встановленому порядку органом державної казначейської служби України на користь стягувачів.</w:t>
      </w:r>
    </w:p>
    <w:p w:rsidR="00A67FD5" w:rsidRPr="00A67FD5" w:rsidRDefault="00A67FD5" w:rsidP="00A67FD5">
      <w:pPr>
        <w:ind w:firstLine="567"/>
        <w:jc w:val="both"/>
        <w:rPr>
          <w:lang w:val="ru-RU"/>
        </w:rPr>
      </w:pPr>
      <w:r w:rsidRPr="00A67FD5">
        <w:rPr>
          <w:lang w:val="ru-RU"/>
        </w:rPr>
        <w:t>Напрями діяльності, завдання та заходи Програми наведено в додатку 2 до Програми.</w:t>
      </w:r>
    </w:p>
    <w:p w:rsidR="00A67FD5" w:rsidRPr="00A67FD5" w:rsidRDefault="00A67FD5" w:rsidP="00A67FD5">
      <w:pPr>
        <w:rPr>
          <w:lang w:val="ru-RU"/>
        </w:rPr>
      </w:pPr>
    </w:p>
    <w:p w:rsidR="00A67FD5" w:rsidRPr="00A67FD5" w:rsidRDefault="00A67FD5" w:rsidP="00A67FD5">
      <w:pPr>
        <w:jc w:val="center"/>
        <w:rPr>
          <w:b/>
          <w:lang w:val="ru-RU"/>
        </w:rPr>
      </w:pPr>
      <w:r w:rsidRPr="00A67FD5">
        <w:rPr>
          <w:b/>
          <w:lang w:val="ru-RU"/>
        </w:rPr>
        <w:t>5. Координація та контроль за ходом виконання Програми</w:t>
      </w:r>
    </w:p>
    <w:p w:rsidR="00A67FD5" w:rsidRPr="00A67FD5" w:rsidRDefault="00A67FD5" w:rsidP="00A67FD5">
      <w:pPr>
        <w:rPr>
          <w:lang w:val="ru-RU"/>
        </w:rPr>
      </w:pPr>
    </w:p>
    <w:p w:rsidR="00A67FD5" w:rsidRPr="00A67FD5" w:rsidRDefault="00A67FD5" w:rsidP="00A67FD5">
      <w:pPr>
        <w:ind w:firstLine="567"/>
        <w:jc w:val="both"/>
        <w:rPr>
          <w:lang w:val="ru-RU"/>
        </w:rPr>
      </w:pPr>
      <w:r w:rsidRPr="00A67FD5">
        <w:rPr>
          <w:lang w:val="ru-RU"/>
        </w:rPr>
        <w:t>Загальна координація та контроль за ходом виконання Програми покладені на заступника міського голови відповідно до розподілу обов'язків. Відповідальним виконавцем Програми визначено департамент соціальної політики Луцької міської ради.</w:t>
      </w:r>
    </w:p>
    <w:p w:rsidR="00A67FD5" w:rsidRPr="00A67FD5" w:rsidRDefault="00A67FD5" w:rsidP="00A67FD5">
      <w:pPr>
        <w:ind w:firstLine="567"/>
        <w:jc w:val="both"/>
        <w:rPr>
          <w:lang w:val="ru-RU"/>
        </w:rPr>
      </w:pPr>
      <w:r w:rsidRPr="00A67FD5">
        <w:rPr>
          <w:lang w:val="ru-RU"/>
        </w:rPr>
        <w:t>З метою дотримання принципу колегіальності, компетентності та прозорості фінансового забезпечення реалізації Програми, функції щодо здійснення системного моніторингу покладаються на постійну комісію міської ради з питань соціального захисту, охорони здоров’я, материнства та дитинства, освіти, науки, культури, мови.</w:t>
      </w:r>
    </w:p>
    <w:p w:rsidR="00A67FD5" w:rsidRPr="00A67FD5" w:rsidRDefault="00A67FD5" w:rsidP="00A67FD5">
      <w:pPr>
        <w:ind w:firstLine="567"/>
        <w:jc w:val="both"/>
        <w:rPr>
          <w:lang w:val="ru-RU"/>
        </w:rPr>
      </w:pPr>
      <w:r w:rsidRPr="00A67FD5">
        <w:rPr>
          <w:lang w:val="ru-RU"/>
        </w:rPr>
        <w:t>Звіт про виконання Програми заслуховується на сесії міської ради після завершення терміну її дії.</w:t>
      </w:r>
    </w:p>
    <w:p w:rsidR="00A67FD5" w:rsidRPr="00A67FD5" w:rsidRDefault="00A67FD5" w:rsidP="00A67FD5">
      <w:pPr>
        <w:rPr>
          <w:lang w:val="ru-RU"/>
        </w:rPr>
      </w:pPr>
    </w:p>
    <w:p w:rsidR="00A67FD5" w:rsidRPr="00A67FD5" w:rsidRDefault="00A67FD5" w:rsidP="00A67FD5">
      <w:pPr>
        <w:rPr>
          <w:lang w:val="ru-RU"/>
        </w:rPr>
      </w:pPr>
    </w:p>
    <w:p w:rsidR="00A67FD5" w:rsidRPr="00A67FD5" w:rsidRDefault="004846CD" w:rsidP="004846CD">
      <w:pPr>
        <w:rPr>
          <w:lang w:val="ru-RU"/>
        </w:rPr>
      </w:pPr>
      <w:r>
        <w:t xml:space="preserve">Міський голова </w:t>
      </w:r>
      <w:r>
        <w:t xml:space="preserve">                                                                                 </w:t>
      </w:r>
      <w:r>
        <w:t>Ігор ПОЛІЩУК</w:t>
      </w:r>
    </w:p>
    <w:p w:rsidR="004846CD" w:rsidRDefault="004846CD" w:rsidP="00A67FD5">
      <w:pPr>
        <w:rPr>
          <w:sz w:val="24"/>
          <w:szCs w:val="24"/>
          <w:lang w:val="ru-RU"/>
        </w:rPr>
      </w:pPr>
    </w:p>
    <w:p w:rsidR="00A67FD5" w:rsidRPr="00A67FD5" w:rsidRDefault="00A67FD5" w:rsidP="00A67FD5">
      <w:pPr>
        <w:rPr>
          <w:sz w:val="24"/>
          <w:szCs w:val="24"/>
          <w:lang w:val="ru-RU"/>
        </w:rPr>
      </w:pPr>
      <w:bookmarkStart w:id="0" w:name="_GoBack"/>
      <w:bookmarkEnd w:id="0"/>
      <w:r>
        <w:rPr>
          <w:sz w:val="24"/>
          <w:szCs w:val="24"/>
          <w:lang w:val="ru-RU"/>
        </w:rPr>
        <w:t>Майборода 284 177</w:t>
      </w: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A67FD5" w:rsidRDefault="00B36CBC">
      <w:pPr>
        <w:rPr>
          <w:lang w:val="ru-RU"/>
        </w:rPr>
      </w:pPr>
    </w:p>
    <w:p w:rsidR="00B36CBC" w:rsidRPr="001362B6" w:rsidRDefault="00B36CBC">
      <w:pPr>
        <w:rPr>
          <w:lang w:val="ru-RU"/>
        </w:rPr>
        <w:sectPr w:rsidR="00B36CBC" w:rsidRPr="001362B6" w:rsidSect="009628E9">
          <w:headerReference w:type="default" r:id="rId7"/>
          <w:pgSz w:w="11906" w:h="16838"/>
          <w:pgMar w:top="1134" w:right="567" w:bottom="1134" w:left="1701" w:header="709" w:footer="709" w:gutter="0"/>
          <w:cols w:space="708"/>
          <w:titlePg/>
          <w:docGrid w:linePitch="381"/>
        </w:sectPr>
      </w:pPr>
    </w:p>
    <w:p w:rsidR="00B36CBC" w:rsidRDefault="00B36CBC" w:rsidP="00B36CBC">
      <w:pPr>
        <w:ind w:firstLine="10206"/>
      </w:pPr>
      <w:r>
        <w:lastRenderedPageBreak/>
        <w:t>Додаток 2</w:t>
      </w:r>
    </w:p>
    <w:p w:rsidR="00B36CBC" w:rsidRDefault="00B36CBC" w:rsidP="00B36CBC">
      <w:pPr>
        <w:ind w:left="10206"/>
      </w:pPr>
      <w:r>
        <w:t>до Програми забезпечення виконання рішень суду та виконавчих документів на 2024-2026 роки</w:t>
      </w:r>
    </w:p>
    <w:p w:rsidR="00B36CBC" w:rsidRDefault="00B36CBC" w:rsidP="00B36CBC">
      <w:pPr>
        <w:pStyle w:val="a5"/>
        <w:ind w:left="6120"/>
        <w:jc w:val="center"/>
      </w:pPr>
    </w:p>
    <w:p w:rsidR="00B36CBC" w:rsidRDefault="00B36CBC" w:rsidP="00B36CBC">
      <w:pPr>
        <w:pStyle w:val="a5"/>
        <w:jc w:val="center"/>
      </w:pPr>
      <w:r w:rsidRPr="00812BF9">
        <w:t>Напрями діяльності</w:t>
      </w:r>
      <w:r>
        <w:t>, завдання та</w:t>
      </w:r>
      <w:r w:rsidRPr="00812BF9">
        <w:t xml:space="preserve"> заходи </w:t>
      </w:r>
    </w:p>
    <w:p w:rsidR="00B36CBC" w:rsidRPr="00F7538F" w:rsidRDefault="00B36CBC" w:rsidP="00B36CBC">
      <w:pPr>
        <w:pStyle w:val="a5"/>
        <w:jc w:val="center"/>
      </w:pPr>
      <w:r w:rsidRPr="00F7538F">
        <w:t>Програми забезпечення виконання рішень суду</w:t>
      </w:r>
      <w:r w:rsidRPr="00DD227E">
        <w:t xml:space="preserve"> </w:t>
      </w:r>
      <w:r>
        <w:t>та виконавчих документів на 2024–2026</w:t>
      </w:r>
      <w:r w:rsidRPr="00F7538F">
        <w:t xml:space="preserve"> роки</w:t>
      </w:r>
    </w:p>
    <w:p w:rsidR="00B36CBC" w:rsidRDefault="00B36CBC" w:rsidP="00B36CBC"/>
    <w:tbl>
      <w:tblPr>
        <w:tblW w:w="15098" w:type="dxa"/>
        <w:tblInd w:w="-106" w:type="dxa"/>
        <w:tblLayout w:type="fixed"/>
        <w:tblLook w:val="00A0" w:firstRow="1" w:lastRow="0" w:firstColumn="1" w:lastColumn="0" w:noHBand="0" w:noVBand="0"/>
      </w:tblPr>
      <w:tblGrid>
        <w:gridCol w:w="1620"/>
        <w:gridCol w:w="3130"/>
        <w:gridCol w:w="709"/>
        <w:gridCol w:w="1559"/>
        <w:gridCol w:w="1701"/>
        <w:gridCol w:w="1134"/>
        <w:gridCol w:w="1276"/>
        <w:gridCol w:w="1134"/>
        <w:gridCol w:w="2835"/>
      </w:tblGrid>
      <w:tr w:rsidR="00B36CBC" w:rsidRPr="00812BF9" w:rsidTr="0098717A">
        <w:trPr>
          <w:cantSplit/>
          <w:trHeight w:val="591"/>
        </w:trPr>
        <w:tc>
          <w:tcPr>
            <w:tcW w:w="1620" w:type="dxa"/>
            <w:vMerge w:val="restart"/>
            <w:tcBorders>
              <w:top w:val="single" w:sz="2" w:space="0" w:color="000000"/>
              <w:left w:val="single" w:sz="2" w:space="0" w:color="000000"/>
              <w:bottom w:val="single" w:sz="2" w:space="0" w:color="000000"/>
              <w:right w:val="single" w:sz="4" w:space="0" w:color="auto"/>
            </w:tcBorders>
            <w:vAlign w:val="center"/>
          </w:tcPr>
          <w:p w:rsidR="00B36CBC" w:rsidRPr="003D0546" w:rsidRDefault="00B36CBC" w:rsidP="0098717A">
            <w:pPr>
              <w:pStyle w:val="a3"/>
              <w:shd w:val="clear" w:color="auto" w:fill="FFFFFF"/>
              <w:spacing w:after="0" w:line="240" w:lineRule="auto"/>
              <w:ind w:left="-108" w:right="-133"/>
              <w:jc w:val="center"/>
            </w:pPr>
            <w:r w:rsidRPr="003D0546">
              <w:t>Назва напряму діяльності (пріоритетні завдання)</w:t>
            </w:r>
          </w:p>
        </w:tc>
        <w:tc>
          <w:tcPr>
            <w:tcW w:w="3130" w:type="dxa"/>
            <w:vMerge w:val="restart"/>
            <w:tcBorders>
              <w:top w:val="single" w:sz="2" w:space="0" w:color="000000"/>
              <w:left w:val="single" w:sz="4" w:space="0" w:color="auto"/>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Перелік заходів</w:t>
            </w:r>
          </w:p>
        </w:tc>
        <w:tc>
          <w:tcPr>
            <w:tcW w:w="709" w:type="dxa"/>
            <w:vMerge w:val="restart"/>
            <w:tcBorders>
              <w:top w:val="single" w:sz="2" w:space="0" w:color="000000"/>
              <w:left w:val="single" w:sz="2" w:space="0" w:color="000000"/>
              <w:bottom w:val="single" w:sz="2" w:space="0" w:color="000000"/>
              <w:right w:val="single" w:sz="2" w:space="0" w:color="000000"/>
            </w:tcBorders>
          </w:tcPr>
          <w:p w:rsidR="00B36CBC" w:rsidRPr="003D0546" w:rsidRDefault="00B36CBC" w:rsidP="0098717A">
            <w:pPr>
              <w:pStyle w:val="a3"/>
              <w:shd w:val="clear" w:color="auto" w:fill="FFFFFF"/>
              <w:snapToGrid w:val="0"/>
              <w:spacing w:after="0" w:line="240" w:lineRule="auto"/>
              <w:jc w:val="center"/>
            </w:pPr>
          </w:p>
          <w:p w:rsidR="00B36CBC" w:rsidRPr="003D0546" w:rsidRDefault="00B36CBC" w:rsidP="0098717A">
            <w:pPr>
              <w:pStyle w:val="a3"/>
              <w:shd w:val="clear" w:color="auto" w:fill="FFFFFF"/>
              <w:spacing w:after="0" w:line="240" w:lineRule="auto"/>
              <w:ind w:left="-108" w:right="-108"/>
              <w:jc w:val="center"/>
            </w:pPr>
            <w:r w:rsidRPr="003D0546">
              <w:t>Строк</w:t>
            </w:r>
          </w:p>
          <w:p w:rsidR="00B36CBC" w:rsidRPr="003D0546" w:rsidRDefault="00B36CBC" w:rsidP="0098717A">
            <w:pPr>
              <w:pStyle w:val="a3"/>
              <w:shd w:val="clear" w:color="auto" w:fill="FFFFFF"/>
              <w:spacing w:after="0" w:line="240" w:lineRule="auto"/>
              <w:ind w:left="-108" w:right="-108"/>
              <w:jc w:val="center"/>
            </w:pPr>
            <w:r w:rsidRPr="003D0546">
              <w:t xml:space="preserve">виконання </w:t>
            </w:r>
          </w:p>
        </w:tc>
        <w:tc>
          <w:tcPr>
            <w:tcW w:w="1559"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Виконавці</w:t>
            </w:r>
          </w:p>
        </w:tc>
        <w:tc>
          <w:tcPr>
            <w:tcW w:w="1701"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Джерела</w:t>
            </w:r>
          </w:p>
          <w:p w:rsidR="00B36CBC" w:rsidRPr="003D0546" w:rsidRDefault="00B36CBC" w:rsidP="0098717A">
            <w:pPr>
              <w:pStyle w:val="a3"/>
              <w:shd w:val="clear" w:color="auto" w:fill="FFFFFF"/>
              <w:spacing w:after="0" w:line="240" w:lineRule="auto"/>
              <w:jc w:val="center"/>
            </w:pPr>
            <w:r w:rsidRPr="003D0546">
              <w:t>фінансування</w:t>
            </w:r>
          </w:p>
        </w:tc>
        <w:tc>
          <w:tcPr>
            <w:tcW w:w="3544" w:type="dxa"/>
            <w:gridSpan w:val="3"/>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Орієнтовні обсяги фінансування (вартість) тис. грн</w:t>
            </w:r>
          </w:p>
        </w:tc>
        <w:tc>
          <w:tcPr>
            <w:tcW w:w="2835" w:type="dxa"/>
            <w:vMerge w:val="restart"/>
            <w:tcBorders>
              <w:top w:val="single" w:sz="2" w:space="0" w:color="000000"/>
              <w:left w:val="single" w:sz="2" w:space="0" w:color="000000"/>
              <w:bottom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jc w:val="center"/>
            </w:pPr>
            <w:r w:rsidRPr="003D0546">
              <w:t>Очікуваний результат</w:t>
            </w:r>
          </w:p>
        </w:tc>
      </w:tr>
      <w:tr w:rsidR="00B36CBC" w:rsidRPr="00812BF9" w:rsidTr="0098717A">
        <w:trPr>
          <w:cantSplit/>
          <w:trHeight w:val="756"/>
        </w:trPr>
        <w:tc>
          <w:tcPr>
            <w:tcW w:w="1620" w:type="dxa"/>
            <w:vMerge/>
            <w:tcBorders>
              <w:top w:val="single" w:sz="2" w:space="0" w:color="000000"/>
              <w:left w:val="single" w:sz="2" w:space="0" w:color="000000"/>
              <w:bottom w:val="single" w:sz="2" w:space="0" w:color="000000"/>
              <w:right w:val="single" w:sz="4" w:space="0" w:color="auto"/>
            </w:tcBorders>
            <w:vAlign w:val="center"/>
          </w:tcPr>
          <w:p w:rsidR="00B36CBC" w:rsidRPr="00812BF9" w:rsidRDefault="00B36CBC" w:rsidP="0098717A">
            <w:pPr>
              <w:suppressAutoHyphens w:val="0"/>
              <w:rPr>
                <w:sz w:val="24"/>
                <w:szCs w:val="24"/>
              </w:rPr>
            </w:pPr>
          </w:p>
        </w:tc>
        <w:tc>
          <w:tcPr>
            <w:tcW w:w="3130" w:type="dxa"/>
            <w:vMerge/>
            <w:tcBorders>
              <w:top w:val="single" w:sz="2" w:space="0" w:color="000000"/>
              <w:left w:val="single" w:sz="4" w:space="0" w:color="auto"/>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709"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559"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701"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c>
          <w:tcPr>
            <w:tcW w:w="1134"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8" w:right="-109"/>
              <w:jc w:val="center"/>
            </w:pPr>
            <w:r>
              <w:t>2024</w:t>
            </w:r>
            <w:r w:rsidRPr="003D0546">
              <w:t xml:space="preserve"> </w:t>
            </w:r>
            <w:r>
              <w:t>рік</w:t>
            </w:r>
          </w:p>
        </w:tc>
        <w:tc>
          <w:tcPr>
            <w:tcW w:w="1276"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7" w:right="-108"/>
              <w:jc w:val="center"/>
            </w:pPr>
            <w:r>
              <w:t>2025 рік</w:t>
            </w:r>
            <w:r w:rsidRPr="003D0546">
              <w:t xml:space="preserve"> </w:t>
            </w:r>
          </w:p>
        </w:tc>
        <w:tc>
          <w:tcPr>
            <w:tcW w:w="1134" w:type="dxa"/>
            <w:tcBorders>
              <w:top w:val="single" w:sz="2" w:space="0" w:color="000000"/>
              <w:left w:val="single" w:sz="2" w:space="0" w:color="000000"/>
              <w:right w:val="single" w:sz="2" w:space="0" w:color="000000"/>
            </w:tcBorders>
            <w:vAlign w:val="center"/>
          </w:tcPr>
          <w:p w:rsidR="00B36CBC" w:rsidRPr="003D0546" w:rsidRDefault="00B36CBC" w:rsidP="0098717A">
            <w:pPr>
              <w:pStyle w:val="a3"/>
              <w:shd w:val="clear" w:color="auto" w:fill="FFFFFF"/>
              <w:spacing w:after="0" w:line="240" w:lineRule="auto"/>
              <w:ind w:left="-108" w:right="-108"/>
              <w:jc w:val="center"/>
            </w:pPr>
            <w:r w:rsidRPr="003D0546">
              <w:t>202</w:t>
            </w:r>
            <w:r>
              <w:t>6 рік</w:t>
            </w:r>
          </w:p>
        </w:tc>
        <w:tc>
          <w:tcPr>
            <w:tcW w:w="2835" w:type="dxa"/>
            <w:vMerge/>
            <w:tcBorders>
              <w:top w:val="single" w:sz="2" w:space="0" w:color="000000"/>
              <w:left w:val="single" w:sz="2" w:space="0" w:color="000000"/>
              <w:bottom w:val="single" w:sz="2" w:space="0" w:color="000000"/>
              <w:right w:val="single" w:sz="2" w:space="0" w:color="000000"/>
            </w:tcBorders>
            <w:vAlign w:val="center"/>
          </w:tcPr>
          <w:p w:rsidR="00B36CBC" w:rsidRPr="00812BF9" w:rsidRDefault="00B36CBC" w:rsidP="0098717A">
            <w:pPr>
              <w:suppressAutoHyphens w:val="0"/>
              <w:rPr>
                <w:sz w:val="24"/>
                <w:szCs w:val="24"/>
              </w:rPr>
            </w:pPr>
          </w:p>
        </w:tc>
      </w:tr>
      <w:tr w:rsidR="00B36CBC" w:rsidRPr="00812BF9" w:rsidTr="0098717A">
        <w:trPr>
          <w:trHeight w:val="988"/>
        </w:trPr>
        <w:tc>
          <w:tcPr>
            <w:tcW w:w="1620" w:type="dxa"/>
            <w:vMerge w:val="restart"/>
            <w:tcBorders>
              <w:top w:val="single" w:sz="2" w:space="0" w:color="000000"/>
              <w:left w:val="single" w:sz="2" w:space="0" w:color="000000"/>
              <w:right w:val="single" w:sz="4" w:space="0" w:color="auto"/>
            </w:tcBorders>
          </w:tcPr>
          <w:p w:rsidR="00B36CBC" w:rsidRPr="003D0546" w:rsidRDefault="00B36CBC" w:rsidP="001B3D91">
            <w:pPr>
              <w:pStyle w:val="a3"/>
              <w:shd w:val="clear" w:color="auto" w:fill="FFFFFF"/>
              <w:spacing w:after="0" w:line="240" w:lineRule="auto"/>
              <w:ind w:left="-66"/>
              <w:jc w:val="both"/>
            </w:pPr>
            <w:r w:rsidRPr="003D0546">
              <w:t>Виконання грошових зобов’язань, які виникли на підставі судових рішень та виконавчих документів про стягнення коштів з департаменту соціальної політики</w:t>
            </w:r>
          </w:p>
        </w:tc>
        <w:tc>
          <w:tcPr>
            <w:tcW w:w="3130" w:type="dxa"/>
            <w:tcBorders>
              <w:top w:val="single" w:sz="2" w:space="0" w:color="000000"/>
              <w:left w:val="single" w:sz="4" w:space="0" w:color="auto"/>
              <w:bottom w:val="single" w:sz="2" w:space="0" w:color="000000"/>
              <w:right w:val="single" w:sz="2" w:space="0" w:color="000000"/>
            </w:tcBorders>
          </w:tcPr>
          <w:p w:rsidR="00B36CBC" w:rsidRPr="003D0546" w:rsidRDefault="00B36CBC" w:rsidP="001B3D91">
            <w:pPr>
              <w:pStyle w:val="a3"/>
              <w:shd w:val="clear" w:color="auto" w:fill="FFFFFF"/>
              <w:spacing w:after="0" w:line="240" w:lineRule="auto"/>
              <w:jc w:val="both"/>
            </w:pPr>
            <w:r w:rsidRPr="003D0546">
              <w:t>1.1. Погашення заборгованості за судовими рішеннями та виконавчими документами про стягнення коштів з  департаменту соціальної політики</w:t>
            </w:r>
          </w:p>
        </w:tc>
        <w:tc>
          <w:tcPr>
            <w:tcW w:w="70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r w:rsidRPr="003D0546">
              <w:t>202</w:t>
            </w:r>
            <w:r>
              <w:t>4</w:t>
            </w:r>
            <w:r w:rsidRPr="003D0546">
              <w:t>-202</w:t>
            </w:r>
            <w:r>
              <w:t>6</w:t>
            </w:r>
            <w:r w:rsidRPr="003D0546">
              <w:t xml:space="preserve"> роки</w:t>
            </w:r>
          </w:p>
        </w:tc>
        <w:tc>
          <w:tcPr>
            <w:tcW w:w="1559"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1B3D91" w:rsidP="001B3D91">
            <w:pPr>
              <w:pStyle w:val="a3"/>
              <w:shd w:val="clear" w:color="auto" w:fill="FFFFFF"/>
              <w:spacing w:after="0" w:line="240" w:lineRule="auto"/>
              <w:jc w:val="center"/>
            </w:pPr>
            <w:r>
              <w:t>Департамент соціальної</w:t>
            </w:r>
            <w:r w:rsidR="00A67FD5">
              <w:t xml:space="preserve"> </w:t>
            </w:r>
            <w:r w:rsidR="00B36CBC" w:rsidRPr="003D0546">
              <w:t>політики</w:t>
            </w:r>
          </w:p>
        </w:tc>
        <w:tc>
          <w:tcPr>
            <w:tcW w:w="1701"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r w:rsidRPr="003D0546">
              <w:t>Бюджет Луцької міської територіальної громади</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1276"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1134"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r w:rsidRPr="00812BF9">
              <w:rPr>
                <w:sz w:val="24"/>
                <w:szCs w:val="24"/>
              </w:rPr>
              <w:t>10,0</w:t>
            </w:r>
          </w:p>
        </w:tc>
        <w:tc>
          <w:tcPr>
            <w:tcW w:w="2835" w:type="dxa"/>
            <w:vMerge w:val="restart"/>
            <w:tcBorders>
              <w:top w:val="single" w:sz="2" w:space="0" w:color="000000"/>
              <w:left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ind w:left="142" w:right="142"/>
            </w:pPr>
            <w:r w:rsidRPr="003D0546">
              <w:t>Забезпечення дотримання вимог законодавства щодо обов’язковості виконання рішень суду</w:t>
            </w:r>
          </w:p>
        </w:tc>
      </w:tr>
      <w:tr w:rsidR="00B36CBC" w:rsidRPr="00812BF9" w:rsidTr="0098717A">
        <w:trPr>
          <w:trHeight w:val="2225"/>
        </w:trPr>
        <w:tc>
          <w:tcPr>
            <w:tcW w:w="1620" w:type="dxa"/>
            <w:vMerge/>
            <w:tcBorders>
              <w:left w:val="single" w:sz="2" w:space="0" w:color="000000"/>
              <w:bottom w:val="single" w:sz="2" w:space="0" w:color="000000"/>
              <w:right w:val="single" w:sz="4" w:space="0" w:color="auto"/>
            </w:tcBorders>
          </w:tcPr>
          <w:p w:rsidR="00B36CBC" w:rsidRPr="003D0546" w:rsidRDefault="00B36CBC" w:rsidP="0098717A">
            <w:pPr>
              <w:pStyle w:val="a3"/>
              <w:shd w:val="clear" w:color="auto" w:fill="FFFFFF"/>
              <w:spacing w:after="0" w:line="240" w:lineRule="auto"/>
              <w:ind w:right="142"/>
              <w:jc w:val="both"/>
            </w:pPr>
          </w:p>
        </w:tc>
        <w:tc>
          <w:tcPr>
            <w:tcW w:w="3130" w:type="dxa"/>
            <w:tcBorders>
              <w:top w:val="single" w:sz="2" w:space="0" w:color="000000"/>
              <w:left w:val="single" w:sz="4" w:space="0" w:color="auto"/>
              <w:bottom w:val="single" w:sz="2" w:space="0" w:color="000000"/>
              <w:right w:val="single" w:sz="2" w:space="0" w:color="000000"/>
            </w:tcBorders>
          </w:tcPr>
          <w:p w:rsidR="00B36CBC" w:rsidRPr="003D0546" w:rsidRDefault="00B36CBC" w:rsidP="0098717A">
            <w:pPr>
              <w:pStyle w:val="a3"/>
              <w:shd w:val="clear" w:color="auto" w:fill="FFFFFF"/>
              <w:spacing w:after="0" w:line="240" w:lineRule="auto"/>
              <w:jc w:val="both"/>
            </w:pPr>
            <w:r w:rsidRPr="003D0546">
              <w:t>1.2. Оплата судового збору, виконавчого збору за примусове виконання рішення суду, штрафів, додаткових витрат, які виникли внаслідок несвоєчасного виконання чи невиконання рішення суду та виконавчого документу, тощо</w:t>
            </w:r>
          </w:p>
        </w:tc>
        <w:tc>
          <w:tcPr>
            <w:tcW w:w="70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559"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701"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jc w:val="cente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1276"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1134" w:type="dxa"/>
            <w:vMerge/>
            <w:tcBorders>
              <w:left w:val="single" w:sz="2" w:space="0" w:color="000000"/>
              <w:bottom w:val="single" w:sz="2" w:space="0" w:color="000000"/>
              <w:right w:val="single" w:sz="2" w:space="0" w:color="000000"/>
            </w:tcBorders>
            <w:tcMar>
              <w:top w:w="0" w:type="dxa"/>
              <w:left w:w="0" w:type="dxa"/>
              <w:bottom w:w="0" w:type="dxa"/>
              <w:right w:w="0" w:type="dxa"/>
            </w:tcMar>
          </w:tcPr>
          <w:p w:rsidR="00B36CBC" w:rsidRPr="00812BF9" w:rsidRDefault="00B36CBC" w:rsidP="0098717A">
            <w:pPr>
              <w:shd w:val="clear" w:color="auto" w:fill="FFFFFF"/>
              <w:jc w:val="center"/>
              <w:rPr>
                <w:sz w:val="24"/>
                <w:szCs w:val="24"/>
              </w:rPr>
            </w:pPr>
          </w:p>
        </w:tc>
        <w:tc>
          <w:tcPr>
            <w:tcW w:w="2835" w:type="dxa"/>
            <w:vMerge/>
            <w:tcBorders>
              <w:left w:val="single" w:sz="2" w:space="0" w:color="000000"/>
              <w:bottom w:val="single" w:sz="4" w:space="0" w:color="auto"/>
              <w:right w:val="single" w:sz="2" w:space="0" w:color="000000"/>
            </w:tcBorders>
            <w:tcMar>
              <w:top w:w="0" w:type="dxa"/>
              <w:left w:w="0" w:type="dxa"/>
              <w:bottom w:w="0" w:type="dxa"/>
              <w:right w:w="0" w:type="dxa"/>
            </w:tcMar>
          </w:tcPr>
          <w:p w:rsidR="00B36CBC" w:rsidRPr="003D0546" w:rsidRDefault="00B36CBC" w:rsidP="0098717A">
            <w:pPr>
              <w:pStyle w:val="a3"/>
              <w:shd w:val="clear" w:color="auto" w:fill="FFFFFF"/>
              <w:spacing w:after="0" w:line="240" w:lineRule="auto"/>
            </w:pPr>
          </w:p>
        </w:tc>
      </w:tr>
    </w:tbl>
    <w:p w:rsidR="00B36CBC" w:rsidRDefault="00B36CBC" w:rsidP="00B36CBC">
      <w:pPr>
        <w:tabs>
          <w:tab w:val="left" w:pos="900"/>
          <w:tab w:val="left" w:pos="2160"/>
          <w:tab w:val="left" w:pos="2520"/>
        </w:tabs>
        <w:ind w:right="70"/>
      </w:pPr>
    </w:p>
    <w:p w:rsidR="00B36CBC" w:rsidRPr="00BE0AE9" w:rsidRDefault="00B36CBC" w:rsidP="00B36CBC">
      <w:pPr>
        <w:jc w:val="both"/>
        <w:rPr>
          <w:sz w:val="22"/>
          <w:szCs w:val="22"/>
        </w:rPr>
      </w:pPr>
      <w:r>
        <w:rPr>
          <w:sz w:val="22"/>
          <w:szCs w:val="22"/>
        </w:rPr>
        <w:t>Майборода 284 177</w:t>
      </w:r>
    </w:p>
    <w:p w:rsidR="00B36CBC" w:rsidRPr="00B36CBC" w:rsidRDefault="00B36CBC">
      <w:pPr>
        <w:rPr>
          <w:lang w:val="en-US"/>
        </w:rPr>
      </w:pPr>
    </w:p>
    <w:sectPr w:rsidR="00B36CBC" w:rsidRPr="00B36CBC" w:rsidSect="00A47795">
      <w:pgSz w:w="16838" w:h="11906" w:orient="landscape"/>
      <w:pgMar w:top="1702" w:right="567" w:bottom="567" w:left="1134" w:header="709" w:footer="709" w:gutter="0"/>
      <w:pgNumType w:start="7"/>
      <w:cols w:space="708"/>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22D4" w:rsidRDefault="000022D4" w:rsidP="009628E9">
      <w:r>
        <w:separator/>
      </w:r>
    </w:p>
  </w:endnote>
  <w:endnote w:type="continuationSeparator" w:id="0">
    <w:p w:rsidR="000022D4" w:rsidRDefault="000022D4" w:rsidP="00962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22D4" w:rsidRDefault="000022D4" w:rsidP="009628E9">
      <w:r>
        <w:separator/>
      </w:r>
    </w:p>
  </w:footnote>
  <w:footnote w:type="continuationSeparator" w:id="0">
    <w:p w:rsidR="000022D4" w:rsidRDefault="000022D4" w:rsidP="009628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282"/>
      <w:docPartObj>
        <w:docPartGallery w:val="Page Numbers (Top of Page)"/>
        <w:docPartUnique/>
      </w:docPartObj>
    </w:sdtPr>
    <w:sdtEndPr/>
    <w:sdtContent>
      <w:p w:rsidR="009628E9" w:rsidRDefault="001B3D91">
        <w:pPr>
          <w:pStyle w:val="a6"/>
          <w:jc w:val="center"/>
        </w:pPr>
        <w:r>
          <w:fldChar w:fldCharType="begin"/>
        </w:r>
        <w:r>
          <w:instrText xml:space="preserve"> PAGE   \* MERGEFORMAT </w:instrText>
        </w:r>
        <w:r>
          <w:fldChar w:fldCharType="separate"/>
        </w:r>
        <w:r w:rsidR="004846CD">
          <w:rPr>
            <w:noProof/>
          </w:rPr>
          <w:t>4</w:t>
        </w:r>
        <w:r>
          <w:rPr>
            <w:noProof/>
          </w:rPr>
          <w:fldChar w:fldCharType="end"/>
        </w:r>
      </w:p>
    </w:sdtContent>
  </w:sdt>
  <w:p w:rsidR="009628E9" w:rsidRDefault="009628E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36CBC"/>
    <w:rsid w:val="000022D4"/>
    <w:rsid w:val="001362B6"/>
    <w:rsid w:val="001B3D91"/>
    <w:rsid w:val="001D6438"/>
    <w:rsid w:val="00350869"/>
    <w:rsid w:val="00401C21"/>
    <w:rsid w:val="004846CD"/>
    <w:rsid w:val="004C12FC"/>
    <w:rsid w:val="00947343"/>
    <w:rsid w:val="009628E9"/>
    <w:rsid w:val="00A67FD5"/>
    <w:rsid w:val="00AD0DA3"/>
    <w:rsid w:val="00B36CBC"/>
    <w:rsid w:val="00C22179"/>
    <w:rsid w:val="00E261B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DB278"/>
  <w15:docId w15:val="{C79A4B6E-952C-42F2-B631-C45CFA57B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CBC"/>
    <w:pPr>
      <w:suppressAutoHyphens/>
      <w:spacing w:after="0" w:line="240" w:lineRule="auto"/>
    </w:pPr>
    <w:rPr>
      <w:rFonts w:ascii="Times New Roman" w:eastAsia="Times New Roman" w:hAnsi="Times New Roman" w:cs="Times New Roman"/>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B36CBC"/>
    <w:pPr>
      <w:spacing w:after="140" w:line="288" w:lineRule="auto"/>
    </w:pPr>
    <w:rPr>
      <w:rFonts w:eastAsia="Calibri"/>
      <w:sz w:val="24"/>
      <w:szCs w:val="24"/>
    </w:rPr>
  </w:style>
  <w:style w:type="character" w:customStyle="1" w:styleId="a4">
    <w:name w:val="Основний текст Знак"/>
    <w:basedOn w:val="a0"/>
    <w:link w:val="a3"/>
    <w:uiPriority w:val="99"/>
    <w:rsid w:val="00B36CBC"/>
    <w:rPr>
      <w:rFonts w:ascii="Times New Roman" w:eastAsia="Calibri" w:hAnsi="Times New Roman" w:cs="Times New Roman"/>
      <w:sz w:val="24"/>
      <w:szCs w:val="24"/>
      <w:lang w:eastAsia="zh-CN"/>
    </w:rPr>
  </w:style>
  <w:style w:type="paragraph" w:styleId="a5">
    <w:name w:val="No Spacing"/>
    <w:uiPriority w:val="99"/>
    <w:qFormat/>
    <w:rsid w:val="00B36CBC"/>
    <w:pPr>
      <w:suppressAutoHyphens/>
      <w:spacing w:after="0" w:line="240" w:lineRule="auto"/>
    </w:pPr>
    <w:rPr>
      <w:rFonts w:ascii="Times New Roman" w:eastAsia="Times New Roman" w:hAnsi="Times New Roman" w:cs="Times New Roman"/>
      <w:sz w:val="28"/>
      <w:szCs w:val="28"/>
      <w:lang w:eastAsia="zh-CN"/>
    </w:rPr>
  </w:style>
  <w:style w:type="paragraph" w:styleId="a6">
    <w:name w:val="header"/>
    <w:basedOn w:val="a"/>
    <w:link w:val="a7"/>
    <w:uiPriority w:val="99"/>
    <w:unhideWhenUsed/>
    <w:rsid w:val="009628E9"/>
    <w:pPr>
      <w:tabs>
        <w:tab w:val="center" w:pos="4819"/>
        <w:tab w:val="right" w:pos="9639"/>
      </w:tabs>
    </w:pPr>
  </w:style>
  <w:style w:type="character" w:customStyle="1" w:styleId="a7">
    <w:name w:val="Верхній колонтитул Знак"/>
    <w:basedOn w:val="a0"/>
    <w:link w:val="a6"/>
    <w:uiPriority w:val="99"/>
    <w:rsid w:val="009628E9"/>
    <w:rPr>
      <w:rFonts w:ascii="Times New Roman" w:eastAsia="Times New Roman" w:hAnsi="Times New Roman" w:cs="Times New Roman"/>
      <w:sz w:val="28"/>
      <w:szCs w:val="28"/>
      <w:lang w:eastAsia="zh-CN"/>
    </w:rPr>
  </w:style>
  <w:style w:type="paragraph" w:styleId="a8">
    <w:name w:val="footer"/>
    <w:basedOn w:val="a"/>
    <w:link w:val="a9"/>
    <w:uiPriority w:val="99"/>
    <w:semiHidden/>
    <w:unhideWhenUsed/>
    <w:rsid w:val="009628E9"/>
    <w:pPr>
      <w:tabs>
        <w:tab w:val="center" w:pos="4819"/>
        <w:tab w:val="right" w:pos="9639"/>
      </w:tabs>
    </w:pPr>
  </w:style>
  <w:style w:type="character" w:customStyle="1" w:styleId="a9">
    <w:name w:val="Нижній колонтитул Знак"/>
    <w:basedOn w:val="a0"/>
    <w:link w:val="a8"/>
    <w:uiPriority w:val="99"/>
    <w:semiHidden/>
    <w:rsid w:val="009628E9"/>
    <w:rPr>
      <w:rFonts w:ascii="Times New Roman" w:eastAsia="Times New Roman" w:hAnsi="Times New Roman" w:cs="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C8B86-C345-4DC4-BFF2-2BACC8FBA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5598</Words>
  <Characters>3192</Characters>
  <Application>Microsoft Office Word</Application>
  <DocSecurity>0</DocSecurity>
  <Lines>26</Lines>
  <Paragraphs>17</Paragraphs>
  <ScaleCrop>false</ScaleCrop>
  <Company/>
  <LinksUpToDate>false</LinksUpToDate>
  <CharactersWithSpaces>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sheremeta</cp:lastModifiedBy>
  <cp:revision>10</cp:revision>
  <dcterms:created xsi:type="dcterms:W3CDTF">2024-02-19T12:49:00Z</dcterms:created>
  <dcterms:modified xsi:type="dcterms:W3CDTF">2025-02-26T11:16:00Z</dcterms:modified>
</cp:coreProperties>
</file>