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 w:rsidRPr="00A63AEE">
        <w:rPr>
          <w:rFonts w:eastAsia="Calibri" w:cs="Arial"/>
          <w:color w:val="000000"/>
          <w:szCs w:val="24"/>
          <w:lang w:eastAsia="en-US" w:bidi="en-US"/>
        </w:rPr>
        <w:t>Додаток №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 w:rsidRPr="00A63AEE">
        <w:rPr>
          <w:rFonts w:eastAsia="Calibri" w:cs="Arial"/>
          <w:color w:val="000000"/>
          <w:szCs w:val="24"/>
          <w:lang w:eastAsia="en-US" w:bidi="en-US"/>
        </w:rPr>
        <w:t>до рішення міської ради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 w:rsidRPr="00A63AEE">
        <w:rPr>
          <w:rFonts w:eastAsia="Calibri" w:cs="Arial"/>
          <w:color w:val="000000"/>
          <w:szCs w:val="24"/>
          <w:lang w:eastAsia="en-US" w:bidi="en-US"/>
        </w:rPr>
        <w:t xml:space="preserve">від </w:t>
      </w:r>
      <w:r w:rsidRPr="00A63AEE">
        <w:rPr>
          <w:rFonts w:eastAsia="Calibri" w:cs="Arial"/>
          <w:color w:val="000000"/>
          <w:szCs w:val="24"/>
          <w:u w:val="single"/>
          <w:lang w:eastAsia="en-US" w:bidi="en-US"/>
        </w:rPr>
        <w:t xml:space="preserve">               </w:t>
      </w:r>
      <w:r w:rsidRPr="00A63AEE">
        <w:rPr>
          <w:rFonts w:eastAsia="Calibri" w:cs="Arial"/>
          <w:color w:val="000000"/>
          <w:szCs w:val="24"/>
          <w:lang w:eastAsia="en-US" w:bidi="en-US"/>
        </w:rPr>
        <w:t xml:space="preserve"> № ________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jc w:val="center"/>
        <w:rPr>
          <w:rFonts w:eastAsia="Calibri" w:cs="Arial"/>
          <w:color w:val="000000"/>
          <w:sz w:val="28"/>
          <w:lang w:eastAsia="en-US" w:bidi="en-US"/>
        </w:rPr>
      </w:pPr>
      <w:r w:rsidRPr="00A63AEE">
        <w:rPr>
          <w:rFonts w:eastAsia="Calibri" w:cs="Arial"/>
          <w:color w:val="000000"/>
          <w:sz w:val="28"/>
          <w:lang w:eastAsia="en-US" w:bidi="en-US"/>
        </w:rPr>
        <w:t xml:space="preserve">Перелік об’єктів </w:t>
      </w:r>
    </w:p>
    <w:p w:rsidR="00A63AEE" w:rsidRPr="00A63AEE" w:rsidRDefault="00A63AEE" w:rsidP="00A63AEE">
      <w:pPr>
        <w:jc w:val="center"/>
        <w:rPr>
          <w:rFonts w:eastAsia="Calibri" w:cs="Arial"/>
          <w:color w:val="000000"/>
          <w:sz w:val="28"/>
          <w:lang w:eastAsia="en-US" w:bidi="en-US"/>
        </w:rPr>
      </w:pPr>
      <w:r w:rsidRPr="00A63AEE">
        <w:rPr>
          <w:rFonts w:eastAsia="Calibri" w:cs="Arial"/>
          <w:color w:val="000000"/>
          <w:sz w:val="28"/>
          <w:lang w:eastAsia="en-US" w:bidi="en-US"/>
        </w:rPr>
        <w:t>з реконструкції та будівництва мереж зовнішнього освітлення вулиць міста, виконаних у 2018 році, що передаються</w:t>
      </w: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37" w:type="dxa"/>
          </w:tcPr>
          <w:p w:rsidR="00A63AEE" w:rsidRPr="00F97145" w:rsidRDefault="00A63AEE" w:rsidP="008B1E56">
            <w:pPr>
              <w:ind w:right="-1088"/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Назва робіт, що передаються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Кошторисна вартість робіт з ПДВ, грн.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Кому передаються</w:t>
            </w:r>
          </w:p>
        </w:tc>
      </w:tr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937" w:type="dxa"/>
          </w:tcPr>
          <w:p w:rsidR="00A63AEE" w:rsidRPr="00F97145" w:rsidRDefault="00A63AEE" w:rsidP="008B1E56">
            <w:pPr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вул. Вавилова: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63AEE" w:rsidRPr="00F97145" w:rsidRDefault="00A63AEE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Default="00A63AEE" w:rsidP="008B1E56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64503,84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539,83</w:t>
            </w:r>
          </w:p>
          <w:p w:rsidR="00A63AEE" w:rsidRPr="00F97145" w:rsidRDefault="00A63AEE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69730,08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937" w:type="dxa"/>
          </w:tcPr>
          <w:p w:rsidR="00A63AEE" w:rsidRPr="00F97145" w:rsidRDefault="00A63AEE" w:rsidP="008B1E56">
            <w:pPr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вул. Північній, вул. Кармелюка, вул.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Щепкіна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 xml:space="preserve">, вул. Холмській, вул.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Курчатова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, вул. Бічній, вул. Поморській: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-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313326,01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2644,69</w:t>
            </w:r>
          </w:p>
          <w:p w:rsidR="00A63AEE" w:rsidRPr="00F97145" w:rsidRDefault="00A63AEE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315970,70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937" w:type="dxa"/>
          </w:tcPr>
          <w:p w:rsidR="00A63AEE" w:rsidRPr="00F97145" w:rsidRDefault="00A63AEE" w:rsidP="008B1E56">
            <w:pPr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вул. Потапова: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63AEE" w:rsidRPr="00F97145" w:rsidRDefault="00A63AEE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182423,03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1517,79</w:t>
            </w:r>
          </w:p>
          <w:p w:rsidR="00A63AEE" w:rsidRPr="00F97145" w:rsidRDefault="00A63AEE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188627,23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A63AEE" w:rsidRPr="00F97145" w:rsidTr="008B1E56">
        <w:trPr>
          <w:trHeight w:val="2177"/>
        </w:trPr>
        <w:tc>
          <w:tcPr>
            <w:tcW w:w="566" w:type="dxa"/>
            <w:tcBorders>
              <w:bottom w:val="outset" w:sz="6" w:space="0" w:color="auto"/>
            </w:tcBorders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937" w:type="dxa"/>
            <w:tcBorders>
              <w:bottom w:val="outset" w:sz="6" w:space="0" w:color="auto"/>
            </w:tcBorders>
          </w:tcPr>
          <w:p w:rsidR="00A63AEE" w:rsidRPr="00F97145" w:rsidRDefault="00A63AEE" w:rsidP="008B1E56">
            <w:pPr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вул.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Полонківській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A63AEE" w:rsidRPr="0064453A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63AEE" w:rsidRPr="00F97145" w:rsidRDefault="00A63AEE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bottom w:val="outset" w:sz="6" w:space="0" w:color="auto"/>
            </w:tcBorders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6076,26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162181,97</w:t>
            </w:r>
          </w:p>
          <w:p w:rsidR="00A63AEE" w:rsidRPr="0064453A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1417,64</w:t>
            </w:r>
          </w:p>
          <w:p w:rsidR="00A63AEE" w:rsidRPr="00F97145" w:rsidRDefault="00A63AEE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169675,87</w:t>
            </w:r>
          </w:p>
        </w:tc>
        <w:tc>
          <w:tcPr>
            <w:tcW w:w="2393" w:type="dxa"/>
            <w:tcBorders>
              <w:bottom w:val="outset" w:sz="6" w:space="0" w:color="auto"/>
            </w:tcBorders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A8532D" w:rsidRDefault="00A8532D"/>
    <w:p w:rsidR="00A63AEE" w:rsidRDefault="00A63AEE"/>
    <w:p w:rsidR="00C069CA" w:rsidRDefault="00C069CA" w:rsidP="00C069CA">
      <w:pPr>
        <w:ind w:firstLine="6804"/>
      </w:pPr>
      <w:r>
        <w:lastRenderedPageBreak/>
        <w:t>Продовження додатку</w:t>
      </w:r>
    </w:p>
    <w:p w:rsidR="00C069CA" w:rsidRDefault="00C069CA" w:rsidP="00C069CA">
      <w:pPr>
        <w:ind w:firstLine="6804"/>
      </w:pPr>
      <w:r>
        <w:t>до рішення міської ради</w:t>
      </w:r>
    </w:p>
    <w:p w:rsidR="00C069CA" w:rsidRDefault="00C069CA" w:rsidP="00C069CA">
      <w:pPr>
        <w:ind w:firstLine="6804"/>
      </w:pPr>
      <w:r>
        <w:t>від ______ № ________</w:t>
      </w:r>
    </w:p>
    <w:p w:rsidR="00C069CA" w:rsidRDefault="00C069CA" w:rsidP="00C069CA">
      <w:pPr>
        <w:ind w:firstLine="6804"/>
      </w:pPr>
    </w:p>
    <w:p w:rsidR="000F4DA7" w:rsidRDefault="000F4DA7" w:rsidP="00C069CA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C069CA" w:rsidRPr="00F97145" w:rsidTr="008B1E56">
        <w:tc>
          <w:tcPr>
            <w:tcW w:w="566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3937" w:type="dxa"/>
          </w:tcPr>
          <w:p w:rsidR="00C069CA" w:rsidRPr="00F97145" w:rsidRDefault="00C069CA" w:rsidP="008B1E56">
            <w:pPr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вул. Кривоноса: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F97145" w:rsidRDefault="00C069CA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113296,69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959,14</w:t>
            </w:r>
          </w:p>
          <w:p w:rsidR="00C069CA" w:rsidRPr="00F97145" w:rsidRDefault="00C069CA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118942,24</w:t>
            </w:r>
          </w:p>
        </w:tc>
        <w:tc>
          <w:tcPr>
            <w:tcW w:w="23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F97145" w:rsidTr="008B1E56">
        <w:tc>
          <w:tcPr>
            <w:tcW w:w="566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3937" w:type="dxa"/>
          </w:tcPr>
          <w:p w:rsidR="00C069CA" w:rsidRPr="00F97145" w:rsidRDefault="00C069CA" w:rsidP="008B1E56">
            <w:pPr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. Волі   (від вул. Шопена до вул. Чехова):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F97145" w:rsidRDefault="00C069CA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18524,56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751093,08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6764,33</w:t>
            </w:r>
          </w:p>
          <w:p w:rsidR="00C069CA" w:rsidRPr="00F97145" w:rsidRDefault="00C069CA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776381,97</w:t>
            </w:r>
          </w:p>
        </w:tc>
        <w:tc>
          <w:tcPr>
            <w:tcW w:w="23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F97145" w:rsidTr="008B1E56">
        <w:tc>
          <w:tcPr>
            <w:tcW w:w="566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3937" w:type="dxa"/>
          </w:tcPr>
          <w:p w:rsidR="00C069CA" w:rsidRPr="00F97145" w:rsidRDefault="00C069CA" w:rsidP="008B1E56">
            <w:pPr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. Соборності: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F97145" w:rsidRDefault="00C069CA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16863,76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342147,66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2966,67</w:t>
            </w:r>
          </w:p>
          <w:p w:rsidR="00C069CA" w:rsidRPr="00F97145" w:rsidRDefault="00C069CA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361978,09</w:t>
            </w:r>
          </w:p>
        </w:tc>
        <w:tc>
          <w:tcPr>
            <w:tcW w:w="23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F97145" w:rsidTr="008B1E56">
        <w:tc>
          <w:tcPr>
            <w:tcW w:w="566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3937" w:type="dxa"/>
          </w:tcPr>
          <w:p w:rsidR="00C069CA" w:rsidRPr="00F97145" w:rsidRDefault="00C069CA" w:rsidP="008B1E56">
            <w:pPr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вул. Григорія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Гуляницького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F97145" w:rsidRDefault="00C069CA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33131,22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257,47</w:t>
            </w:r>
          </w:p>
          <w:p w:rsidR="00C069CA" w:rsidRPr="00F97145" w:rsidRDefault="00C069CA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36059,90</w:t>
            </w:r>
          </w:p>
        </w:tc>
        <w:tc>
          <w:tcPr>
            <w:tcW w:w="23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F97145" w:rsidTr="008B1E56">
        <w:trPr>
          <w:trHeight w:val="2756"/>
        </w:trPr>
        <w:tc>
          <w:tcPr>
            <w:tcW w:w="566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3937" w:type="dxa"/>
          </w:tcPr>
          <w:p w:rsidR="00C069CA" w:rsidRPr="00F97145" w:rsidRDefault="00C069CA" w:rsidP="008B1E56">
            <w:pPr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перехресті вул.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Говорова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 xml:space="preserve"> – вул. Балакірєва: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607142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F97145" w:rsidRDefault="00C069CA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29304,42</w:t>
            </w:r>
          </w:p>
          <w:p w:rsidR="00C069CA" w:rsidRPr="00607142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236,60</w:t>
            </w:r>
          </w:p>
          <w:p w:rsidR="00C069CA" w:rsidRPr="00F97145" w:rsidRDefault="00C069CA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32212,23</w:t>
            </w:r>
          </w:p>
          <w:p w:rsidR="00C069CA" w:rsidRPr="00F97145" w:rsidRDefault="00C069CA" w:rsidP="008B1E56">
            <w:pPr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A63AEE" w:rsidRDefault="00A63AEE"/>
    <w:p w:rsidR="00C069CA" w:rsidRDefault="00C069CA" w:rsidP="00C069CA">
      <w:pPr>
        <w:ind w:firstLine="6804"/>
      </w:pPr>
      <w:r>
        <w:lastRenderedPageBreak/>
        <w:t>Продовження додатку</w:t>
      </w:r>
    </w:p>
    <w:p w:rsidR="00C069CA" w:rsidRDefault="00C069CA" w:rsidP="00C069CA">
      <w:pPr>
        <w:ind w:firstLine="6804"/>
      </w:pPr>
      <w:r>
        <w:t>до рішення міської ради</w:t>
      </w:r>
    </w:p>
    <w:p w:rsidR="00C069CA" w:rsidRDefault="00C069CA" w:rsidP="00C069CA">
      <w:pPr>
        <w:ind w:firstLine="6804"/>
      </w:pPr>
      <w:r>
        <w:t>від ______ № ________</w:t>
      </w:r>
    </w:p>
    <w:p w:rsidR="00C069CA" w:rsidRDefault="00C069CA"/>
    <w:p w:rsidR="000F4DA7" w:rsidRDefault="000F4DA7"/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C069CA" w:rsidRPr="00CD735F" w:rsidTr="008B1E56">
        <w:tc>
          <w:tcPr>
            <w:tcW w:w="566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3937" w:type="dxa"/>
          </w:tcPr>
          <w:p w:rsidR="00C069CA" w:rsidRPr="00CD735F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Мережі зовнішнього освітлення на вул. Янки Купала: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CD735F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100688,15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824,26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104183,62</w:t>
            </w:r>
          </w:p>
        </w:tc>
        <w:tc>
          <w:tcPr>
            <w:tcW w:w="23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CD735F" w:rsidTr="008B1E56">
        <w:tc>
          <w:tcPr>
            <w:tcW w:w="566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3937" w:type="dxa"/>
          </w:tcPr>
          <w:p w:rsidR="00C069CA" w:rsidRPr="00CD735F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пішохідній доріжці між буд. № 2б на вул. В. 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Чорновола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 та № 4 на вул. Сухомлинського: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CD735F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1202,40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28471,37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250,60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29924,37</w:t>
            </w:r>
          </w:p>
        </w:tc>
        <w:tc>
          <w:tcPr>
            <w:tcW w:w="23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CD735F" w:rsidTr="008B1E56">
        <w:tc>
          <w:tcPr>
            <w:tcW w:w="566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3937" w:type="dxa"/>
          </w:tcPr>
          <w:p w:rsidR="00C069CA" w:rsidRPr="00CD735F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Мережі зовнішнього освітлення на вул. В</w:t>
            </w:r>
            <w:r w:rsidRPr="00CD735F">
              <w:rPr>
                <w:rFonts w:eastAsia="Calibri"/>
                <w:spacing w:val="0"/>
                <w:sz w:val="24"/>
                <w:szCs w:val="24"/>
                <w:lang w:val="ru-RU"/>
              </w:rPr>
              <w:t>’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ячеслава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Чорновола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 (від 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. Соборності до вул. Сухомлинського):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CD735F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46769,78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371,28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49812,27</w:t>
            </w:r>
          </w:p>
        </w:tc>
        <w:tc>
          <w:tcPr>
            <w:tcW w:w="23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CD735F" w:rsidTr="008B1E56">
        <w:trPr>
          <w:trHeight w:val="2299"/>
        </w:trPr>
        <w:tc>
          <w:tcPr>
            <w:tcW w:w="566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13</w:t>
            </w:r>
          </w:p>
        </w:tc>
        <w:tc>
          <w:tcPr>
            <w:tcW w:w="3937" w:type="dxa"/>
          </w:tcPr>
          <w:p w:rsidR="00C069CA" w:rsidRPr="00CD735F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пров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. Сосюри: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30826,70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226,57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33724,48</w:t>
            </w:r>
          </w:p>
        </w:tc>
        <w:tc>
          <w:tcPr>
            <w:tcW w:w="23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CD735F" w:rsidTr="008B1E56">
        <w:tc>
          <w:tcPr>
            <w:tcW w:w="566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14</w:t>
            </w:r>
          </w:p>
        </w:tc>
        <w:tc>
          <w:tcPr>
            <w:tcW w:w="3937" w:type="dxa"/>
          </w:tcPr>
          <w:p w:rsidR="00C069CA" w:rsidRPr="00CD735F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Мережі зовнішнього освітлення на прибудинковій території на вул. Стрілецькій, 27: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CD735F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CD735F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4686,41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30111,10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227,32</w:t>
            </w:r>
          </w:p>
          <w:p w:rsidR="00C069CA" w:rsidRPr="00CD735F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35024,83</w:t>
            </w:r>
          </w:p>
        </w:tc>
        <w:tc>
          <w:tcPr>
            <w:tcW w:w="2393" w:type="dxa"/>
          </w:tcPr>
          <w:p w:rsidR="00C069CA" w:rsidRPr="00CD735F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CD735F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C069CA" w:rsidRDefault="00C069CA"/>
    <w:p w:rsidR="000F4DA7" w:rsidRDefault="000F4DA7" w:rsidP="00C069CA">
      <w:pPr>
        <w:ind w:firstLine="6804"/>
      </w:pPr>
    </w:p>
    <w:p w:rsidR="00C069CA" w:rsidRDefault="00C069CA" w:rsidP="00C069CA">
      <w:pPr>
        <w:ind w:firstLine="6804"/>
      </w:pPr>
      <w:r>
        <w:lastRenderedPageBreak/>
        <w:t>Продовження додатку</w:t>
      </w:r>
    </w:p>
    <w:p w:rsidR="00C069CA" w:rsidRDefault="00C069CA" w:rsidP="00C069CA">
      <w:pPr>
        <w:ind w:firstLine="6804"/>
      </w:pPr>
      <w:r>
        <w:t>до рішення міської ради</w:t>
      </w:r>
    </w:p>
    <w:p w:rsidR="00C069CA" w:rsidRDefault="00C069CA" w:rsidP="00C069CA">
      <w:pPr>
        <w:ind w:firstLine="6804"/>
      </w:pPr>
      <w:r>
        <w:t>від ______ № ________</w:t>
      </w:r>
    </w:p>
    <w:p w:rsidR="00C069CA" w:rsidRDefault="00C069CA" w:rsidP="00C069CA"/>
    <w:p w:rsidR="000F4DA7" w:rsidRDefault="000F4DA7" w:rsidP="00C069CA"/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C069CA" w:rsidRPr="005C4E68" w:rsidTr="008B1E56">
        <w:tc>
          <w:tcPr>
            <w:tcW w:w="566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3937" w:type="dxa"/>
          </w:tcPr>
          <w:p w:rsidR="00C069CA" w:rsidRPr="005C4E68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прибудинковій території на вул. </w:t>
            </w:r>
            <w:proofErr w:type="spellStart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Дубнівській</w:t>
            </w:r>
            <w:proofErr w:type="spellEnd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, 123: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5C4E68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1202,40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16745,53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139,58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18087,51</w:t>
            </w:r>
          </w:p>
        </w:tc>
        <w:tc>
          <w:tcPr>
            <w:tcW w:w="2393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5C4E68" w:rsidTr="008B1E56">
        <w:tc>
          <w:tcPr>
            <w:tcW w:w="566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3937" w:type="dxa"/>
          </w:tcPr>
          <w:p w:rsidR="00C069CA" w:rsidRPr="005C4E68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Мережі зовнішнього освітлення на прибудинковій території на вул. Коперника, 1: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5C4E68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23943,70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219,48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26834,39</w:t>
            </w:r>
          </w:p>
        </w:tc>
        <w:tc>
          <w:tcPr>
            <w:tcW w:w="2393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5C4E68" w:rsidTr="008B1E56">
        <w:trPr>
          <w:trHeight w:val="2534"/>
        </w:trPr>
        <w:tc>
          <w:tcPr>
            <w:tcW w:w="566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17</w:t>
            </w:r>
          </w:p>
        </w:tc>
        <w:tc>
          <w:tcPr>
            <w:tcW w:w="3937" w:type="dxa"/>
          </w:tcPr>
          <w:p w:rsidR="00C069CA" w:rsidRPr="005C4E68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прибудинковій території на </w:t>
            </w:r>
            <w:proofErr w:type="spellStart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. Відродження, 8а: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5C4E68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1363,20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14199,30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130,16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15692,66</w:t>
            </w:r>
          </w:p>
        </w:tc>
        <w:tc>
          <w:tcPr>
            <w:tcW w:w="2393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5C4E68" w:rsidTr="008B1E56">
        <w:tc>
          <w:tcPr>
            <w:tcW w:w="566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18</w:t>
            </w:r>
          </w:p>
        </w:tc>
        <w:tc>
          <w:tcPr>
            <w:tcW w:w="3937" w:type="dxa"/>
          </w:tcPr>
          <w:p w:rsidR="00C069CA" w:rsidRPr="005C4E68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пішохідних переходах міста (вул. </w:t>
            </w:r>
            <w:proofErr w:type="spellStart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Теремнівська</w:t>
            </w:r>
            <w:proofErr w:type="spellEnd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 – вул. Січова</w:t>
            </w:r>
            <w:r w:rsidRPr="005C4E68">
              <w:rPr>
                <w:rFonts w:eastAsia="Calibri"/>
                <w:spacing w:val="0"/>
                <w:sz w:val="24"/>
                <w:szCs w:val="24"/>
                <w:lang w:val="ru-RU"/>
              </w:rPr>
              <w:t>;</w:t>
            </w: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Теремнівська</w:t>
            </w:r>
            <w:proofErr w:type="spellEnd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 – вул. </w:t>
            </w:r>
            <w:proofErr w:type="spellStart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Писаревського</w:t>
            </w:r>
            <w:proofErr w:type="spellEnd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):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5C4E6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5C4E68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4686,41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95053,22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847,22</w:t>
            </w:r>
          </w:p>
          <w:p w:rsidR="00C069CA" w:rsidRPr="005C4E68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100586,85</w:t>
            </w:r>
          </w:p>
        </w:tc>
        <w:tc>
          <w:tcPr>
            <w:tcW w:w="2393" w:type="dxa"/>
          </w:tcPr>
          <w:p w:rsidR="00C069CA" w:rsidRPr="005C4E6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5C4E68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 w:rsidP="00C069CA">
      <w:pPr>
        <w:ind w:firstLine="6804"/>
      </w:pPr>
      <w:r>
        <w:t>Продовження додатку</w:t>
      </w:r>
    </w:p>
    <w:p w:rsidR="00C069CA" w:rsidRDefault="00C069CA" w:rsidP="00C069CA">
      <w:pPr>
        <w:ind w:firstLine="6804"/>
      </w:pPr>
      <w:r>
        <w:t>до рішення міської ради</w:t>
      </w:r>
    </w:p>
    <w:p w:rsidR="00C069CA" w:rsidRDefault="00C069CA" w:rsidP="00C069CA">
      <w:pPr>
        <w:ind w:firstLine="6804"/>
      </w:pPr>
      <w:r>
        <w:t>від ______ № ________</w:t>
      </w:r>
    </w:p>
    <w:p w:rsidR="000F4DA7" w:rsidRDefault="000F4DA7" w:rsidP="00C069CA">
      <w:pPr>
        <w:ind w:firstLine="6804"/>
      </w:pPr>
    </w:p>
    <w:p w:rsidR="000F4DA7" w:rsidRDefault="000F4DA7" w:rsidP="00C069CA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C069CA" w:rsidRPr="00362B98" w:rsidTr="008B1E56">
        <w:tc>
          <w:tcPr>
            <w:tcW w:w="566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19</w:t>
            </w:r>
          </w:p>
        </w:tc>
        <w:tc>
          <w:tcPr>
            <w:tcW w:w="3937" w:type="dxa"/>
          </w:tcPr>
          <w:p w:rsidR="00C069CA" w:rsidRPr="00362B98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пішохідних переходах міста (вул. </w:t>
            </w:r>
            <w:proofErr w:type="spellStart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Гнідавська</w:t>
            </w:r>
            <w:proofErr w:type="spellEnd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, 21</w:t>
            </w:r>
            <w:r w:rsidRPr="00362B98">
              <w:rPr>
                <w:rFonts w:eastAsia="Calibri"/>
                <w:spacing w:val="0"/>
                <w:sz w:val="24"/>
                <w:szCs w:val="24"/>
              </w:rPr>
              <w:t>;</w:t>
            </w: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Гнідавська</w:t>
            </w:r>
            <w:proofErr w:type="spellEnd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, 66):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362B98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35686,02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304,25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38661,48</w:t>
            </w:r>
          </w:p>
        </w:tc>
        <w:tc>
          <w:tcPr>
            <w:tcW w:w="2393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362B98" w:rsidTr="008B1E56">
        <w:tc>
          <w:tcPr>
            <w:tcW w:w="566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3937" w:type="dxa"/>
          </w:tcPr>
          <w:p w:rsidR="00C069CA" w:rsidRPr="00362B98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Мережі зовнішнього освітлення на пішохідному переході міста (вул. Рівненська – вул. Гетьмана Мазепи):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362B98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15020,78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130,89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17822,88</w:t>
            </w:r>
          </w:p>
        </w:tc>
        <w:tc>
          <w:tcPr>
            <w:tcW w:w="2393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362B98" w:rsidTr="008B1E56">
        <w:trPr>
          <w:trHeight w:val="2836"/>
        </w:trPr>
        <w:tc>
          <w:tcPr>
            <w:tcW w:w="566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3937" w:type="dxa"/>
          </w:tcPr>
          <w:p w:rsidR="00C069CA" w:rsidRPr="00362B98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Мережі зовнішнього освітлення на пішохідному переході міста (вул. Станіславського, 50):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362B98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17219,21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146,60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20037,02</w:t>
            </w:r>
          </w:p>
        </w:tc>
        <w:tc>
          <w:tcPr>
            <w:tcW w:w="2393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362B98" w:rsidTr="008B1E56">
        <w:tc>
          <w:tcPr>
            <w:tcW w:w="566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22</w:t>
            </w:r>
          </w:p>
        </w:tc>
        <w:tc>
          <w:tcPr>
            <w:tcW w:w="3937" w:type="dxa"/>
          </w:tcPr>
          <w:p w:rsidR="00C069CA" w:rsidRPr="00362B98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Мережі зовнішнього освітлення на проїзді з вул. Федорова до буд. № 31, 33а на вул. Домни Гордіюк: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C069CA" w:rsidRPr="00362B98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4686,41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107920,49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890,44</w:t>
            </w:r>
          </w:p>
          <w:p w:rsidR="00C069CA" w:rsidRPr="00362B98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113497,34</w:t>
            </w:r>
          </w:p>
        </w:tc>
        <w:tc>
          <w:tcPr>
            <w:tcW w:w="2393" w:type="dxa"/>
          </w:tcPr>
          <w:p w:rsidR="00C069CA" w:rsidRPr="00362B98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362B98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C069CA" w:rsidRDefault="00C069CA" w:rsidP="00C069CA">
      <w:pPr>
        <w:rPr>
          <w:u w:val="single"/>
        </w:rPr>
      </w:pPr>
    </w:p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/>
    <w:p w:rsidR="00C069CA" w:rsidRDefault="00C069CA" w:rsidP="00C069CA">
      <w:pPr>
        <w:ind w:firstLine="6804"/>
      </w:pPr>
      <w:r>
        <w:t>Продовження додатку</w:t>
      </w:r>
    </w:p>
    <w:p w:rsidR="00C069CA" w:rsidRDefault="00C069CA" w:rsidP="00C069CA">
      <w:pPr>
        <w:ind w:firstLine="6804"/>
      </w:pPr>
      <w:r>
        <w:t>до рішення міської ради</w:t>
      </w:r>
    </w:p>
    <w:p w:rsidR="00C069CA" w:rsidRDefault="00C069CA" w:rsidP="00C069CA">
      <w:pPr>
        <w:ind w:firstLine="6804"/>
      </w:pPr>
      <w:r>
        <w:t>від ______ № ________</w:t>
      </w:r>
    </w:p>
    <w:p w:rsidR="000F4DA7" w:rsidRDefault="000F4DA7" w:rsidP="00C069CA">
      <w:pPr>
        <w:ind w:firstLine="6804"/>
      </w:pPr>
    </w:p>
    <w:p w:rsidR="000F4DA7" w:rsidRDefault="000F4DA7" w:rsidP="00C069CA">
      <w:pPr>
        <w:ind w:firstLine="6804"/>
      </w:pPr>
      <w:bookmarkStart w:id="0" w:name="_GoBack"/>
      <w:bookmarkEnd w:id="0"/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C069CA" w:rsidRPr="001E362D" w:rsidTr="008B1E56">
        <w:tc>
          <w:tcPr>
            <w:tcW w:w="566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23</w:t>
            </w:r>
          </w:p>
        </w:tc>
        <w:tc>
          <w:tcPr>
            <w:tcW w:w="3937" w:type="dxa"/>
          </w:tcPr>
          <w:p w:rsidR="00C069CA" w:rsidRPr="001E362D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прибудинкових територіях на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. Перемоги, 17 та на вул. Привокзальній, 5: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1E362D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4686,41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147076,67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1266,16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153029,24</w:t>
            </w:r>
          </w:p>
        </w:tc>
        <w:tc>
          <w:tcPr>
            <w:tcW w:w="2393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1E362D" w:rsidTr="008B1E56">
        <w:tc>
          <w:tcPr>
            <w:tcW w:w="566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24</w:t>
            </w:r>
          </w:p>
        </w:tc>
        <w:tc>
          <w:tcPr>
            <w:tcW w:w="3937" w:type="dxa"/>
          </w:tcPr>
          <w:p w:rsidR="00C069CA" w:rsidRPr="001E362D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прибудинкових територіях на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. Перемоги, 13а: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1E362D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4686,41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131514,84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1141,47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137342,72</w:t>
            </w:r>
          </w:p>
        </w:tc>
        <w:tc>
          <w:tcPr>
            <w:tcW w:w="2393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1E362D" w:rsidTr="008B1E56">
        <w:trPr>
          <w:trHeight w:val="3098"/>
        </w:trPr>
        <w:tc>
          <w:tcPr>
            <w:tcW w:w="566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25</w:t>
            </w:r>
          </w:p>
        </w:tc>
        <w:tc>
          <w:tcPr>
            <w:tcW w:w="3937" w:type="dxa"/>
          </w:tcPr>
          <w:p w:rsidR="00C069CA" w:rsidRPr="001E362D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вул. Окружній (від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бульв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. Дружби Народів до вул.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Мамсурова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) та на вул.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Мамсурова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 (від вул. Окружна до вул. Потебні):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1E362D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13060,13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376809,55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3223,53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393093,21</w:t>
            </w:r>
          </w:p>
        </w:tc>
        <w:tc>
          <w:tcPr>
            <w:tcW w:w="2393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1E362D" w:rsidTr="008B1E56">
        <w:tc>
          <w:tcPr>
            <w:tcW w:w="566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26</w:t>
            </w:r>
          </w:p>
        </w:tc>
        <w:tc>
          <w:tcPr>
            <w:tcW w:w="3937" w:type="dxa"/>
          </w:tcPr>
          <w:p w:rsidR="00C069CA" w:rsidRPr="001E362D" w:rsidRDefault="00C069CA" w:rsidP="008B1E56">
            <w:pPr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прибудинковій території на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. Відродження, 12а: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C069CA" w:rsidRPr="001E362D" w:rsidRDefault="00C069CA" w:rsidP="00C069CA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1E362D" w:rsidRDefault="00C069CA" w:rsidP="008B1E56">
            <w:pPr>
              <w:ind w:left="720"/>
              <w:contextualSpacing/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2671,21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37280,71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287,20</w:t>
            </w:r>
          </w:p>
          <w:p w:rsidR="00C069CA" w:rsidRPr="001E362D" w:rsidRDefault="00C069CA" w:rsidP="008B1E56">
            <w:pPr>
              <w:jc w:val="right"/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b/>
                <w:spacing w:val="0"/>
                <w:sz w:val="24"/>
                <w:szCs w:val="24"/>
                <w:lang w:val="uk-UA"/>
              </w:rPr>
              <w:t>40239,12</w:t>
            </w:r>
          </w:p>
        </w:tc>
        <w:tc>
          <w:tcPr>
            <w:tcW w:w="2393" w:type="dxa"/>
          </w:tcPr>
          <w:p w:rsidR="00C069CA" w:rsidRPr="001E362D" w:rsidRDefault="00C069CA" w:rsidP="008B1E56">
            <w:pPr>
              <w:jc w:val="both"/>
              <w:rPr>
                <w:rFonts w:eastAsia="Calibri"/>
                <w:spacing w:val="0"/>
                <w:sz w:val="24"/>
                <w:szCs w:val="24"/>
                <w:lang w:val="uk-UA"/>
              </w:rPr>
            </w:pPr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1E362D">
              <w:rPr>
                <w:rFonts w:eastAsia="Calibri"/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C069CA" w:rsidRDefault="00C069CA" w:rsidP="00C069CA">
      <w:pPr>
        <w:rPr>
          <w:u w:val="single"/>
        </w:rPr>
      </w:pPr>
    </w:p>
    <w:p w:rsidR="00C069CA" w:rsidRDefault="00C069CA" w:rsidP="00C069CA">
      <w:pPr>
        <w:rPr>
          <w:u w:val="single"/>
        </w:rPr>
      </w:pPr>
    </w:p>
    <w:p w:rsidR="00C069CA" w:rsidRPr="001E362D" w:rsidRDefault="00C069CA" w:rsidP="00C069CA">
      <w:pPr>
        <w:rPr>
          <w:rFonts w:eastAsia="Calibri" w:cs="Arial"/>
          <w:color w:val="000000"/>
          <w:sz w:val="28"/>
          <w:lang w:eastAsia="en-US" w:bidi="en-US"/>
        </w:rPr>
      </w:pPr>
      <w:r w:rsidRPr="001E362D">
        <w:rPr>
          <w:rFonts w:eastAsia="Calibri" w:cs="Arial"/>
          <w:color w:val="000000"/>
          <w:sz w:val="28"/>
          <w:lang w:eastAsia="en-US" w:bidi="en-US"/>
        </w:rPr>
        <w:t xml:space="preserve">Секретар міської ради                                   </w:t>
      </w:r>
      <w:r>
        <w:rPr>
          <w:rFonts w:eastAsia="Calibri" w:cs="Arial"/>
          <w:color w:val="000000"/>
          <w:sz w:val="28"/>
          <w:lang w:eastAsia="en-US" w:bidi="en-US"/>
        </w:rPr>
        <w:t xml:space="preserve">                       </w:t>
      </w:r>
      <w:r w:rsidRPr="001E362D">
        <w:rPr>
          <w:rFonts w:eastAsia="Calibri" w:cs="Arial"/>
          <w:color w:val="000000"/>
          <w:sz w:val="28"/>
          <w:lang w:eastAsia="en-US" w:bidi="en-US"/>
        </w:rPr>
        <w:t xml:space="preserve">      Григорій Пустовіт</w:t>
      </w:r>
    </w:p>
    <w:p w:rsidR="00C069CA" w:rsidRPr="001E362D" w:rsidRDefault="00C069CA" w:rsidP="00C069CA">
      <w:pPr>
        <w:rPr>
          <w:u w:val="single"/>
        </w:rPr>
      </w:pPr>
    </w:p>
    <w:p w:rsidR="00C069CA" w:rsidRDefault="00C069CA"/>
    <w:sectPr w:rsidR="00C0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E"/>
    <w:rsid w:val="000F4DA7"/>
    <w:rsid w:val="00A63AEE"/>
    <w:rsid w:val="00A8532D"/>
    <w:rsid w:val="00C0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AB8"/>
  <w15:chartTrackingRefBased/>
  <w15:docId w15:val="{C7EC6A58-30AB-4480-95CC-8568E28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 w:bidi="en-US"/>
    </w:rPr>
  </w:style>
  <w:style w:type="table" w:styleId="a4">
    <w:name w:val="Table Grid"/>
    <w:basedOn w:val="a1"/>
    <w:uiPriority w:val="59"/>
    <w:rsid w:val="00A63AEE"/>
    <w:rPr>
      <w:rFonts w:cs="Arial"/>
      <w:color w:val="000000"/>
      <w:spacing w:val="20"/>
      <w:sz w:val="28"/>
      <w:szCs w:val="16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5350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Яворський Віктор Євгенович</cp:lastModifiedBy>
  <cp:revision>2</cp:revision>
  <dcterms:created xsi:type="dcterms:W3CDTF">2018-11-20T09:30:00Z</dcterms:created>
  <dcterms:modified xsi:type="dcterms:W3CDTF">2018-11-20T10:50:00Z</dcterms:modified>
</cp:coreProperties>
</file>