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15" w:rsidRPr="007250B2" w:rsidRDefault="00615615">
      <w:pPr>
        <w:pStyle w:val="LO-normal"/>
        <w:ind w:left="5940"/>
        <w:rPr>
          <w:color w:val="000000"/>
          <w:sz w:val="28"/>
          <w:szCs w:val="28"/>
        </w:rPr>
      </w:pPr>
      <w:r w:rsidRPr="007250B2">
        <w:rPr>
          <w:color w:val="000000"/>
          <w:sz w:val="28"/>
          <w:szCs w:val="28"/>
        </w:rPr>
        <w:t>Додаток</w:t>
      </w:r>
    </w:p>
    <w:p w:rsidR="00615615" w:rsidRPr="007250B2" w:rsidRDefault="00615615">
      <w:pPr>
        <w:pStyle w:val="LO-normal"/>
        <w:ind w:left="5940"/>
        <w:rPr>
          <w:color w:val="000000"/>
          <w:sz w:val="28"/>
          <w:szCs w:val="28"/>
        </w:rPr>
      </w:pPr>
      <w:r w:rsidRPr="007250B2">
        <w:rPr>
          <w:color w:val="000000"/>
          <w:sz w:val="28"/>
          <w:szCs w:val="28"/>
        </w:rPr>
        <w:t>до рішення міської ради</w:t>
      </w:r>
    </w:p>
    <w:p w:rsidR="00615615" w:rsidRPr="007250B2" w:rsidRDefault="00615615">
      <w:pPr>
        <w:pStyle w:val="LO-normal"/>
        <w:ind w:left="5940"/>
        <w:rPr>
          <w:color w:val="000000"/>
          <w:sz w:val="28"/>
          <w:szCs w:val="28"/>
        </w:rPr>
      </w:pPr>
      <w:r w:rsidRPr="007250B2">
        <w:rPr>
          <w:color w:val="000000"/>
          <w:sz w:val="28"/>
          <w:szCs w:val="28"/>
        </w:rPr>
        <w:t>від __________ № ________</w:t>
      </w:r>
    </w:p>
    <w:p w:rsidR="00615615" w:rsidRPr="007250B2" w:rsidRDefault="00615615">
      <w:pPr>
        <w:pStyle w:val="LO-normal"/>
        <w:jc w:val="center"/>
        <w:rPr>
          <w:color w:val="000000"/>
          <w:sz w:val="28"/>
          <w:szCs w:val="28"/>
        </w:rPr>
      </w:pPr>
    </w:p>
    <w:p w:rsidR="00615615" w:rsidRPr="007250B2" w:rsidRDefault="00615615">
      <w:pPr>
        <w:pStyle w:val="LO-normal"/>
        <w:jc w:val="center"/>
      </w:pPr>
      <w:r w:rsidRPr="007250B2">
        <w:rPr>
          <w:color w:val="000000"/>
          <w:sz w:val="28"/>
          <w:szCs w:val="28"/>
        </w:rPr>
        <w:t>План діяльності з підготовки проєктів регуляторних актів на 2020 рік</w:t>
      </w:r>
    </w:p>
    <w:p w:rsidR="00615615" w:rsidRPr="007250B2" w:rsidRDefault="00615615">
      <w:pPr>
        <w:pStyle w:val="LO-normal"/>
        <w:jc w:val="center"/>
        <w:rPr>
          <w:color w:val="000000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1411"/>
        <w:gridCol w:w="2101"/>
        <w:gridCol w:w="2133"/>
        <w:gridCol w:w="1429"/>
        <w:gridCol w:w="2043"/>
      </w:tblGrid>
      <w:tr w:rsidR="00615615" w:rsidRPr="007250B2" w:rsidTr="0042075C">
        <w:trPr>
          <w:trHeight w:val="224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№</w:t>
            </w:r>
          </w:p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6"/>
                <w:szCs w:val="26"/>
              </w:rPr>
              <w:t>Вид проєкту регулятор-ного акта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6"/>
                <w:szCs w:val="26"/>
              </w:rPr>
              <w:t>Назва проєкту регуляторного акта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Ціль</w:t>
            </w:r>
          </w:p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прийняття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Строк підготовки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6"/>
                <w:szCs w:val="26"/>
              </w:rPr>
            </w:pPr>
            <w:r w:rsidRPr="007250B2">
              <w:rPr>
                <w:color w:val="000000"/>
                <w:sz w:val="26"/>
                <w:szCs w:val="26"/>
              </w:rPr>
              <w:t>Найменування виконавчих органів міської ради, відповідальних за розроблення регуляторного акта</w:t>
            </w:r>
          </w:p>
        </w:tc>
      </w:tr>
      <w:tr w:rsidR="00615615" w:rsidRPr="007250B2" w:rsidTr="0042075C">
        <w:trPr>
          <w:trHeight w:val="148"/>
          <w:tblHeader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4"/>
                <w:szCs w:val="24"/>
              </w:rPr>
            </w:pPr>
            <w:r w:rsidRPr="007250B2">
              <w:rPr>
                <w:color w:val="000000"/>
                <w:sz w:val="24"/>
                <w:szCs w:val="24"/>
              </w:rPr>
              <w:t>6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250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Про Правила благоустрою міста Луцька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Відповідно до чинного законодавства з питань благоустрою, містобудування та архітектури, земельних відносин, санітарно-екологічного стану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>і</w:t>
            </w:r>
            <w:r w:rsidRPr="007250B2">
              <w:rPr>
                <w:color w:val="000000"/>
                <w:sz w:val="27"/>
                <w:szCs w:val="27"/>
              </w:rPr>
              <w:t>к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муніципальної варти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Про Порядок облаштування фасадів у місті Луцьку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Впорядкування проведення робіт з облаштування фасадів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I квартал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Управління містобудування та архітектури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Про затвердження Положення про порядок залучення, розрахунку розміру і використання коштів пайової участі у розвитку інфраструктури міста Луцька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Відповідно до вимог Закону України № 1059 від 29.08.2019 «Про внесення змін до деяких законодавчих актів України щодо стимулювання інвестиційної діяльності в Україні»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sz w:val="27"/>
                <w:szCs w:val="27"/>
              </w:rPr>
              <w:t>Управління капітального будівництва</w:t>
            </w:r>
          </w:p>
        </w:tc>
      </w:tr>
      <w:tr w:rsidR="00615615" w:rsidRPr="007250B2" w:rsidTr="0042075C">
        <w:trPr>
          <w:trHeight w:val="125"/>
          <w:jc w:val="center"/>
        </w:trPr>
        <w:tc>
          <w:tcPr>
            <w:tcW w:w="531" w:type="dxa"/>
            <w:vAlign w:val="center"/>
          </w:tcPr>
          <w:p w:rsidR="00615615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ставок земельного податку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Приведення нормативного акту у відповідність до норм чинного законодавства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ставок із сплати податку на нерухоме майно, відмінне від земельної ділянки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Приведення нормативного акту у відповідність до норм чинного законодавства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 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транспортного податку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У зв’язку із приєднанням територіальної громади Прилуцької сільської ради до територіальної громади міста Луцька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збору за місця для паркування транспортних засобів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У зв’язку із приєднанням територіальної громади Прилуцької сільської ради до територіальної громади міста Луцька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туристичного збору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У зв’язку із приєднанням територіальної громади Прилуцької сільської ради до територіальної громади міста Луцька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305"/>
          <w:jc w:val="center"/>
        </w:trPr>
        <w:tc>
          <w:tcPr>
            <w:tcW w:w="531" w:type="dxa"/>
            <w:vAlign w:val="center"/>
          </w:tcPr>
          <w:p w:rsidR="00615615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Про встановлення ставок єдиного податку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У зв’язку із приєднанням територіальної громади Прилуцької сільської ради до територіальної громади міста Луцька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color w:val="000000"/>
                <w:sz w:val="27"/>
                <w:szCs w:val="27"/>
              </w:rPr>
              <w:t>I півріччя 2020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7250B2">
              <w:rPr>
                <w:color w:val="000000"/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Департамент фінансів та бюджету</w:t>
            </w:r>
          </w:p>
        </w:tc>
      </w:tr>
      <w:tr w:rsidR="00615615" w:rsidRPr="007250B2" w:rsidTr="0042075C">
        <w:trPr>
          <w:trHeight w:val="2060"/>
          <w:jc w:val="center"/>
        </w:trPr>
        <w:tc>
          <w:tcPr>
            <w:tcW w:w="53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250B2">
              <w:rPr>
                <w:sz w:val="24"/>
                <w:szCs w:val="24"/>
              </w:rPr>
              <w:t>.</w:t>
            </w:r>
          </w:p>
        </w:tc>
        <w:tc>
          <w:tcPr>
            <w:tcW w:w="141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</w:pPr>
            <w:r w:rsidRPr="007250B2">
              <w:rPr>
                <w:color w:val="000000"/>
                <w:sz w:val="27"/>
                <w:szCs w:val="27"/>
              </w:rPr>
              <w:t>Рішення міської ради</w:t>
            </w:r>
          </w:p>
        </w:tc>
        <w:tc>
          <w:tcPr>
            <w:tcW w:w="2101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 xml:space="preserve">Про внесення змін до рішення міської ради від 28.05.2014 № 60/40 </w:t>
            </w:r>
            <w:r>
              <w:rPr>
                <w:sz w:val="27"/>
                <w:szCs w:val="27"/>
              </w:rPr>
              <w:t>«</w:t>
            </w:r>
            <w:r w:rsidRPr="007250B2">
              <w:rPr>
                <w:sz w:val="27"/>
                <w:szCs w:val="27"/>
              </w:rPr>
              <w:t>Про затвердження Порядку поводження відумерлою спадщиною у місті Луцьку</w:t>
            </w:r>
            <w:r>
              <w:rPr>
                <w:sz w:val="27"/>
                <w:szCs w:val="27"/>
              </w:rPr>
              <w:t>»</w:t>
            </w:r>
          </w:p>
        </w:tc>
        <w:tc>
          <w:tcPr>
            <w:tcW w:w="213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Затвердження нового Порядку поводження з відумерлою спадщиною в місті Луцьку</w:t>
            </w:r>
          </w:p>
        </w:tc>
        <w:tc>
          <w:tcPr>
            <w:tcW w:w="1429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II півріччя  2020</w:t>
            </w:r>
            <w:r>
              <w:rPr>
                <w:sz w:val="27"/>
                <w:szCs w:val="27"/>
              </w:rPr>
              <w:t> </w:t>
            </w:r>
            <w:r w:rsidRPr="007250B2">
              <w:rPr>
                <w:sz w:val="27"/>
                <w:szCs w:val="27"/>
              </w:rPr>
              <w:t>року</w:t>
            </w:r>
          </w:p>
        </w:tc>
        <w:tc>
          <w:tcPr>
            <w:tcW w:w="2043" w:type="dxa"/>
            <w:vAlign w:val="center"/>
          </w:tcPr>
          <w:p w:rsidR="00615615" w:rsidRPr="007250B2" w:rsidRDefault="00615615" w:rsidP="0042075C">
            <w:pPr>
              <w:pStyle w:val="LO-normal"/>
              <w:jc w:val="center"/>
              <w:rPr>
                <w:sz w:val="27"/>
                <w:szCs w:val="27"/>
              </w:rPr>
            </w:pPr>
            <w:r w:rsidRPr="007250B2">
              <w:rPr>
                <w:sz w:val="27"/>
                <w:szCs w:val="27"/>
              </w:rPr>
              <w:t>Юридичний департамент</w:t>
            </w:r>
          </w:p>
        </w:tc>
      </w:tr>
    </w:tbl>
    <w:p w:rsidR="00615615" w:rsidRPr="007250B2" w:rsidRDefault="00615615">
      <w:pPr>
        <w:pStyle w:val="LO-normal"/>
        <w:jc w:val="both"/>
        <w:rPr>
          <w:color w:val="000000"/>
          <w:sz w:val="28"/>
          <w:szCs w:val="28"/>
        </w:rPr>
      </w:pPr>
    </w:p>
    <w:p w:rsidR="00615615" w:rsidRPr="007250B2" w:rsidRDefault="00615615">
      <w:pPr>
        <w:pStyle w:val="LO-normal"/>
        <w:jc w:val="both"/>
        <w:rPr>
          <w:color w:val="000000"/>
          <w:sz w:val="28"/>
          <w:szCs w:val="28"/>
        </w:rPr>
      </w:pPr>
    </w:p>
    <w:p w:rsidR="00615615" w:rsidRPr="007250B2" w:rsidRDefault="00615615">
      <w:pPr>
        <w:pStyle w:val="LO-normal"/>
        <w:jc w:val="both"/>
        <w:rPr>
          <w:color w:val="000000"/>
          <w:sz w:val="28"/>
          <w:szCs w:val="28"/>
        </w:rPr>
      </w:pPr>
    </w:p>
    <w:p w:rsidR="00615615" w:rsidRPr="007250B2" w:rsidRDefault="00615615">
      <w:pPr>
        <w:pStyle w:val="LO-normal"/>
        <w:tabs>
          <w:tab w:val="left" w:pos="7020"/>
        </w:tabs>
      </w:pPr>
      <w:r w:rsidRPr="007250B2">
        <w:rPr>
          <w:color w:val="000000"/>
          <w:sz w:val="28"/>
          <w:szCs w:val="28"/>
        </w:rPr>
        <w:t>Секретар міської ради                                                           Григорій ПУСТОВІТ</w:t>
      </w:r>
    </w:p>
    <w:sectPr w:rsidR="00615615" w:rsidRPr="007250B2" w:rsidSect="009F6F64">
      <w:headerReference w:type="default" r:id="rId6"/>
      <w:pgSz w:w="11906" w:h="16838"/>
      <w:pgMar w:top="1134" w:right="567" w:bottom="1134" w:left="1985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15" w:rsidRDefault="00615615" w:rsidP="009F6F64">
      <w:r>
        <w:separator/>
      </w:r>
    </w:p>
  </w:endnote>
  <w:endnote w:type="continuationSeparator" w:id="0">
    <w:p w:rsidR="00615615" w:rsidRDefault="00615615" w:rsidP="009F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15" w:rsidRDefault="00615615" w:rsidP="009F6F64">
      <w:r>
        <w:separator/>
      </w:r>
    </w:p>
  </w:footnote>
  <w:footnote w:type="continuationSeparator" w:id="0">
    <w:p w:rsidR="00615615" w:rsidRDefault="00615615" w:rsidP="009F6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15" w:rsidRDefault="00615615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615615" w:rsidRDefault="00615615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64"/>
    <w:rsid w:val="00135AAC"/>
    <w:rsid w:val="001C58EE"/>
    <w:rsid w:val="00296BE2"/>
    <w:rsid w:val="002C6535"/>
    <w:rsid w:val="0034086A"/>
    <w:rsid w:val="0042075C"/>
    <w:rsid w:val="00550047"/>
    <w:rsid w:val="00615615"/>
    <w:rsid w:val="006D117F"/>
    <w:rsid w:val="007250B2"/>
    <w:rsid w:val="009F6F64"/>
    <w:rsid w:val="00B07E74"/>
    <w:rsid w:val="00C06DBB"/>
    <w:rsid w:val="00F8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74"/>
    <w:rPr>
      <w:sz w:val="20"/>
      <w:szCs w:val="20"/>
      <w:lang w:val="uk-UA"/>
    </w:rPr>
  </w:style>
  <w:style w:type="paragraph" w:styleId="Heading1">
    <w:name w:val="heading 1"/>
    <w:basedOn w:val="Normal"/>
    <w:next w:val="LO-normal"/>
    <w:link w:val="Heading1Char"/>
    <w:uiPriority w:val="99"/>
    <w:qFormat/>
    <w:rsid w:val="00B07E74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rsid w:val="00B07E74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rsid w:val="00B07E74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rsid w:val="00B07E74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rsid w:val="00B07E74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rsid w:val="00B07E74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E74"/>
    <w:rPr>
      <w:rFonts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E74"/>
    <w:rPr>
      <w:rFonts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E74"/>
    <w:rPr>
      <w:rFonts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E74"/>
    <w:rPr>
      <w:rFonts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E74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link w:val="Title"/>
    <w:uiPriority w:val="99"/>
    <w:locked/>
    <w:rsid w:val="00B07E74"/>
    <w:rPr>
      <w:rFonts w:ascii="Cambria" w:hAnsi="Cambria" w:cs="Times New Roman"/>
      <w:b/>
      <w:bCs/>
      <w:kern w:val="2"/>
      <w:sz w:val="32"/>
      <w:szCs w:val="32"/>
      <w:lang w:val="uk-UA"/>
    </w:rPr>
  </w:style>
  <w:style w:type="character" w:customStyle="1" w:styleId="SubtitleChar">
    <w:name w:val="Subtitle Char"/>
    <w:link w:val="Subtitle"/>
    <w:uiPriority w:val="99"/>
    <w:locked/>
    <w:rsid w:val="00B07E74"/>
    <w:rPr>
      <w:rFonts w:ascii="Cambria" w:hAnsi="Cambria" w:cs="Times New Roman"/>
      <w:sz w:val="24"/>
      <w:szCs w:val="24"/>
      <w:lang w:val="uk-UA"/>
    </w:rPr>
  </w:style>
  <w:style w:type="paragraph" w:customStyle="1" w:styleId="a">
    <w:name w:val="Заголовок"/>
    <w:basedOn w:val="Normal"/>
    <w:next w:val="BodyText"/>
    <w:uiPriority w:val="99"/>
    <w:rsid w:val="009F6F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F6F6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uk-UA"/>
    </w:rPr>
  </w:style>
  <w:style w:type="paragraph" w:styleId="List">
    <w:name w:val="List"/>
    <w:basedOn w:val="BodyText"/>
    <w:uiPriority w:val="99"/>
    <w:rsid w:val="009F6F64"/>
    <w:rPr>
      <w:rFonts w:cs="Arial"/>
    </w:rPr>
  </w:style>
  <w:style w:type="paragraph" w:styleId="Caption">
    <w:name w:val="caption"/>
    <w:basedOn w:val="Normal"/>
    <w:uiPriority w:val="99"/>
    <w:qFormat/>
    <w:rsid w:val="009F6F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9F6F64"/>
    <w:pPr>
      <w:suppressLineNumbers/>
    </w:pPr>
    <w:rPr>
      <w:rFonts w:cs="Arial"/>
    </w:rPr>
  </w:style>
  <w:style w:type="paragraph" w:customStyle="1" w:styleId="LO-normal">
    <w:name w:val="LO-normal"/>
    <w:uiPriority w:val="99"/>
    <w:rsid w:val="00B07E74"/>
    <w:rPr>
      <w:sz w:val="20"/>
      <w:szCs w:val="20"/>
      <w:lang w:val="uk-UA"/>
    </w:rPr>
  </w:style>
  <w:style w:type="paragraph" w:styleId="Title">
    <w:name w:val="Title"/>
    <w:basedOn w:val="LO-normal"/>
    <w:next w:val="LO-normal"/>
    <w:link w:val="TitleChar1"/>
    <w:uiPriority w:val="99"/>
    <w:qFormat/>
    <w:rsid w:val="00B07E7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Subtitle">
    <w:name w:val="Subtitle"/>
    <w:basedOn w:val="LO-normal"/>
    <w:next w:val="LO-normal"/>
    <w:link w:val="SubtitleChar1"/>
    <w:uiPriority w:val="99"/>
    <w:qFormat/>
    <w:rsid w:val="00B07E7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9F6F64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uk-UA"/>
    </w:rPr>
  </w:style>
  <w:style w:type="paragraph" w:customStyle="1" w:styleId="a1">
    <w:name w:val="Вміст таблиці"/>
    <w:basedOn w:val="Normal"/>
    <w:uiPriority w:val="99"/>
    <w:rsid w:val="009F6F64"/>
    <w:pPr>
      <w:suppressLineNumbers/>
    </w:pPr>
  </w:style>
  <w:style w:type="paragraph" w:customStyle="1" w:styleId="a2">
    <w:name w:val="Заголовок таблиці"/>
    <w:basedOn w:val="a1"/>
    <w:uiPriority w:val="99"/>
    <w:rsid w:val="009F6F64"/>
    <w:pPr>
      <w:jc w:val="center"/>
    </w:pPr>
    <w:rPr>
      <w:b/>
      <w:bCs/>
    </w:rPr>
  </w:style>
  <w:style w:type="table" w:customStyle="1" w:styleId="a3">
    <w:name w:val="Стиль"/>
    <w:uiPriority w:val="99"/>
    <w:rsid w:val="00B07E7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B07E7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207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442</Words>
  <Characters>2524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Селюк</cp:lastModifiedBy>
  <cp:revision>19</cp:revision>
  <dcterms:created xsi:type="dcterms:W3CDTF">2019-09-06T09:05:00Z</dcterms:created>
  <dcterms:modified xsi:type="dcterms:W3CDTF">2019-10-28T08:50:00Z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