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4632E8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4632E8"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1218775</w:t>
            </w:r>
            <w:r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8775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0133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4632E8" w:rsidRDefault="004632E8" w:rsidP="005E4169">
            <w:pPr>
              <w:pStyle w:val="Ch6"/>
              <w:ind w:firstLine="0"/>
              <w:jc w:val="center"/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</w:pPr>
            <w:r w:rsidRPr="004632E8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Інші заходи за рахунок коштів резервного фонду місцевого бюджету </w:t>
            </w:r>
          </w:p>
          <w:p w:rsidR="009740FF" w:rsidRPr="00922F4C" w:rsidRDefault="009740F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CC1D17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C1D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Pr="00CC1D1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4632E8" w:rsidRDefault="004632E8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4632E8">
        <w:rPr>
          <w:rFonts w:ascii="Times New Roman" w:hAnsi="Times New Roman" w:cs="Times New Roman"/>
          <w:w w:val="100"/>
          <w:sz w:val="24"/>
          <w:szCs w:val="24"/>
          <w:lang w:eastAsia="en-US"/>
        </w:rPr>
        <w:t>На забезпечення захисту об'єктів критичної інфраструктури</w:t>
      </w:r>
      <w:r w:rsidR="00EC6714"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  <w:r w:rsidRPr="004632E8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4632E8" w:rsidP="00EC67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2E8">
              <w:rPr>
                <w:rFonts w:ascii="Times New Roman" w:hAnsi="Times New Roman"/>
                <w:sz w:val="24"/>
                <w:szCs w:val="24"/>
              </w:rPr>
              <w:t>Видатки на заходи із забезпечення захисту об'єктів критичної інфраструктури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4632E8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632E8">
              <w:rPr>
                <w:rFonts w:ascii="Times New Roman" w:hAnsi="Times New Roman"/>
                <w:spacing w:val="-20"/>
                <w:sz w:val="20"/>
                <w:szCs w:val="20"/>
              </w:rPr>
              <w:t>Видатки на заходи із забезпечення захисту об'єктів критичної інфраструктури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6279FA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4632E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4632E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4632E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1 928 266,21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4632E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1 928 266,21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A33120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4632E8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-671 733,79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4632E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-671 733,79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AF32D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AF32D5" w:rsidP="00AF32D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     </w:t>
            </w:r>
            <w:r w:rsidRPr="00AF32D5">
              <w:rPr>
                <w:lang w:val="uk-UA" w:eastAsia="en-US"/>
              </w:rPr>
              <w:t xml:space="preserve">Кошти використані в межах кошторисних призначень, </w:t>
            </w:r>
            <w:proofErr w:type="spellStart"/>
            <w:r w:rsidRPr="00AF32D5">
              <w:rPr>
                <w:lang w:val="uk-UA" w:eastAsia="en-US"/>
              </w:rPr>
              <w:t>відхиленя</w:t>
            </w:r>
            <w:proofErr w:type="spellEnd"/>
            <w:r w:rsidRPr="00AF32D5">
              <w:rPr>
                <w:lang w:val="uk-UA" w:eastAsia="en-US"/>
              </w:rPr>
              <w:t xml:space="preserve"> виникли відповідно до </w:t>
            </w:r>
            <w:r>
              <w:rPr>
                <w:lang w:val="uk-UA" w:eastAsia="en-US"/>
              </w:rPr>
              <w:t xml:space="preserve">оплачених документів за </w:t>
            </w:r>
            <w:r w:rsidRPr="00AF32D5">
              <w:rPr>
                <w:lang w:val="uk-UA" w:eastAsia="en-US"/>
              </w:rPr>
              <w:t>фактично</w:t>
            </w:r>
            <w:r>
              <w:rPr>
                <w:lang w:val="uk-UA" w:eastAsia="en-US"/>
              </w:rPr>
              <w:t xml:space="preserve"> виконані роботи.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A07D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Pr="00515B29" w:rsidRDefault="00EA07D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A07D8" w:rsidRDefault="00EA07D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990C32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922F4C" w:rsidRDefault="00990C3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A01D83" w:rsidRDefault="00990C32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90C3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забезпечення захисту об'єктів критичної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990C32">
              <w:rPr>
                <w:rFonts w:ascii="Times New Roman" w:hAnsi="Times New Roman"/>
                <w:spacing w:val="-20"/>
                <w:sz w:val="20"/>
                <w:szCs w:val="20"/>
              </w:rPr>
              <w:t>інфраструктури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0123B2" w:rsidRDefault="00990C32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0123B2" w:rsidRDefault="00990C32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1 928 266,21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1 928 266,21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-671 733,79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990C3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-671 733,79</w:t>
            </w:r>
          </w:p>
        </w:tc>
      </w:tr>
      <w:tr w:rsidR="00990C32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922F4C" w:rsidRDefault="00990C3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671B5F" w:rsidRDefault="00990C32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90C3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об'єктів, що потребують захисту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990C32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Pr="00671B5F" w:rsidRDefault="00990C32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90C3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F81AC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F73A98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73A98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роботи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B77DB1" w:rsidRDefault="00F73A98" w:rsidP="00EC67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F73A98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E822E8" w:rsidRDefault="0040123E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8046D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046D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витрат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1 928 266,21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1 928 266,21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-671 733,79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8046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-671 733,79</w:t>
            </w: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8046D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046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544702" w:rsidRDefault="0040123E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2947DA" w:rsidP="00EC6714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90C3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забезпечення захисту об'єктів критичної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990C32">
              <w:rPr>
                <w:rFonts w:ascii="Times New Roman" w:hAnsi="Times New Roman"/>
                <w:spacing w:val="-20"/>
                <w:sz w:val="20"/>
                <w:szCs w:val="20"/>
              </w:rPr>
              <w:t>інфраструктури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2947DA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2947DA">
              <w:rPr>
                <w:rFonts w:ascii="Times New Roman" w:hAnsi="Times New Roman"/>
                <w:spacing w:val="-20"/>
                <w:sz w:val="20"/>
                <w:szCs w:val="20"/>
              </w:rPr>
              <w:t>Відхиленя</w:t>
            </w:r>
            <w:proofErr w:type="spellEnd"/>
            <w:r w:rsidRPr="002947D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виникли відповідно до оплачених документів за фактично виконані роботи.</w:t>
            </w: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2947DA" w:rsidP="00EC6714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90C3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об'єктів, що потребують захисту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3D15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D153F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2947DA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73A98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роботи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3D153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2947DA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046D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витрат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Default="002947D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3D153F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3D153F"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692B02" w:rsidP="00165F0D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Виділені </w:t>
            </w:r>
            <w:r w:rsidRPr="00692B02">
              <w:rPr>
                <w:color w:val="auto"/>
                <w:lang w:val="uk-UA" w:eastAsia="en-US"/>
              </w:rPr>
              <w:t xml:space="preserve">кошти </w:t>
            </w:r>
            <w:r w:rsidR="00165F0D">
              <w:rPr>
                <w:color w:val="auto"/>
                <w:lang w:val="uk-UA" w:eastAsia="en-US"/>
              </w:rPr>
              <w:t>дали можливість</w:t>
            </w:r>
            <w:r w:rsidR="00165F0D">
              <w:rPr>
                <w:lang w:val="uk-UA"/>
              </w:rPr>
              <w:t xml:space="preserve"> провести</w:t>
            </w:r>
            <w:r w:rsidR="00165F0D" w:rsidRPr="004632E8">
              <w:t xml:space="preserve"> </w:t>
            </w:r>
            <w:proofErr w:type="spellStart"/>
            <w:r w:rsidR="00165F0D" w:rsidRPr="004632E8">
              <w:t>заходи</w:t>
            </w:r>
            <w:proofErr w:type="spellEnd"/>
            <w:r w:rsidR="00165F0D" w:rsidRPr="004632E8">
              <w:t xml:space="preserve"> </w:t>
            </w:r>
            <w:proofErr w:type="spellStart"/>
            <w:r w:rsidR="00165F0D" w:rsidRPr="004632E8">
              <w:t>із</w:t>
            </w:r>
            <w:proofErr w:type="spellEnd"/>
            <w:r w:rsidR="00165F0D" w:rsidRPr="004632E8">
              <w:t xml:space="preserve"> </w:t>
            </w:r>
            <w:proofErr w:type="spellStart"/>
            <w:r w:rsidR="00165F0D" w:rsidRPr="004632E8">
              <w:t>забезпечення</w:t>
            </w:r>
            <w:proofErr w:type="spellEnd"/>
            <w:r w:rsidR="00165F0D" w:rsidRPr="004632E8">
              <w:t xml:space="preserve"> </w:t>
            </w:r>
            <w:proofErr w:type="spellStart"/>
            <w:r w:rsidR="00165F0D" w:rsidRPr="004632E8">
              <w:t>захисту</w:t>
            </w:r>
            <w:proofErr w:type="spellEnd"/>
            <w:r w:rsidR="00165F0D" w:rsidRPr="004632E8">
              <w:t xml:space="preserve"> </w:t>
            </w:r>
            <w:proofErr w:type="spellStart"/>
            <w:r w:rsidR="00165F0D" w:rsidRPr="004632E8">
              <w:t>об'єктів</w:t>
            </w:r>
            <w:proofErr w:type="spellEnd"/>
            <w:r w:rsidR="00165F0D" w:rsidRPr="004632E8">
              <w:t xml:space="preserve"> </w:t>
            </w:r>
            <w:proofErr w:type="spellStart"/>
            <w:r w:rsidR="00165F0D" w:rsidRPr="004632E8">
              <w:t>критичної</w:t>
            </w:r>
            <w:proofErr w:type="spellEnd"/>
            <w:r w:rsidR="00165F0D" w:rsidRPr="004632E8">
              <w:t xml:space="preserve"> </w:t>
            </w:r>
            <w:proofErr w:type="spellStart"/>
            <w:r w:rsidR="00165F0D" w:rsidRPr="004632E8">
              <w:t>інфраструктури</w:t>
            </w:r>
            <w:proofErr w:type="spellEnd"/>
            <w:r w:rsidR="00165F0D">
              <w:rPr>
                <w:lang w:val="uk-UA"/>
              </w:rPr>
              <w:t>.</w:t>
            </w:r>
            <w:r>
              <w:rPr>
                <w:color w:val="auto"/>
                <w:lang w:val="uk-UA" w:eastAsia="en-US"/>
              </w:rPr>
              <w:t xml:space="preserve"> 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165F0D" w:rsidP="00165F0D">
            <w:pPr>
              <w:pStyle w:val="Ch63"/>
              <w:spacing w:before="57"/>
              <w:rPr>
                <w:color w:val="FF0000"/>
                <w:lang w:eastAsia="en-US"/>
              </w:rPr>
            </w:pPr>
            <w:r w:rsidRPr="00165F0D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  <w:lang w:eastAsia="en-US"/>
              </w:rPr>
              <w:t>Виділені кошти дали можливість провести заходи із забезпечення захисту об'єктів критичної інфраструктури.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30D91"/>
    <w:rsid w:val="00131602"/>
    <w:rsid w:val="00141E6E"/>
    <w:rsid w:val="00157490"/>
    <w:rsid w:val="00165673"/>
    <w:rsid w:val="00165F0D"/>
    <w:rsid w:val="001733F8"/>
    <w:rsid w:val="001C2DAB"/>
    <w:rsid w:val="001D6558"/>
    <w:rsid w:val="001F634D"/>
    <w:rsid w:val="001F722A"/>
    <w:rsid w:val="00224BB4"/>
    <w:rsid w:val="00247102"/>
    <w:rsid w:val="00251634"/>
    <w:rsid w:val="0027555A"/>
    <w:rsid w:val="002947DA"/>
    <w:rsid w:val="002A1EE1"/>
    <w:rsid w:val="002A5E9F"/>
    <w:rsid w:val="0031482E"/>
    <w:rsid w:val="003172E9"/>
    <w:rsid w:val="00320A36"/>
    <w:rsid w:val="00323DFF"/>
    <w:rsid w:val="00371BE6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32E8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046D"/>
    <w:rsid w:val="00587A77"/>
    <w:rsid w:val="005C0DFE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680A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90C32"/>
    <w:rsid w:val="009A23FA"/>
    <w:rsid w:val="009A473B"/>
    <w:rsid w:val="009A6EB6"/>
    <w:rsid w:val="009B22C2"/>
    <w:rsid w:val="009C1DDD"/>
    <w:rsid w:val="009F38F1"/>
    <w:rsid w:val="00A01D83"/>
    <w:rsid w:val="00A02F44"/>
    <w:rsid w:val="00A33120"/>
    <w:rsid w:val="00A627AA"/>
    <w:rsid w:val="00A64311"/>
    <w:rsid w:val="00A90249"/>
    <w:rsid w:val="00AA0E71"/>
    <w:rsid w:val="00AA2EA1"/>
    <w:rsid w:val="00AB23B7"/>
    <w:rsid w:val="00AD7042"/>
    <w:rsid w:val="00AE5E9E"/>
    <w:rsid w:val="00AF32D5"/>
    <w:rsid w:val="00AF6AA2"/>
    <w:rsid w:val="00B023D8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C1D17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12FC2"/>
    <w:rsid w:val="00E209E4"/>
    <w:rsid w:val="00E27F06"/>
    <w:rsid w:val="00E353BE"/>
    <w:rsid w:val="00E650BC"/>
    <w:rsid w:val="00E75E83"/>
    <w:rsid w:val="00E822E8"/>
    <w:rsid w:val="00E930F2"/>
    <w:rsid w:val="00EA07D8"/>
    <w:rsid w:val="00EC6714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73A98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5</Pages>
  <Words>824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556</cp:revision>
  <dcterms:created xsi:type="dcterms:W3CDTF">2022-12-28T06:41:00Z</dcterms:created>
  <dcterms:modified xsi:type="dcterms:W3CDTF">2024-02-07T11:58:00Z</dcterms:modified>
</cp:coreProperties>
</file>