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4F1D49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B17F3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0160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B17F3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0160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B17F3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0111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B17F37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B17F37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Керівництво і управління у відповідній сфері у містах (місті Києві), селищах, селах,об'єднаних територіальних громадах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B17F37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7F3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</w:t>
            </w:r>
            <w:r w:rsidRPr="00B17F3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B17F37" w:rsidRDefault="00B17F37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B17F37">
        <w:rPr>
          <w:rFonts w:ascii="Times New Roman" w:hAnsi="Times New Roman" w:cs="Times New Roman"/>
          <w:w w:val="100"/>
          <w:sz w:val="24"/>
          <w:szCs w:val="24"/>
          <w:lang w:eastAsia="en-US"/>
        </w:rPr>
        <w:t>Керівництво і управління у сфері житлово-комунального господарства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B17F37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Default="00B17F37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Pr="00122110" w:rsidRDefault="00122110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122110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Здійснення департаментом житлово-комунального господарства наданих законодавством повноважень у сфері житлово-комунального господарства</w:t>
            </w:r>
          </w:p>
        </w:tc>
      </w:tr>
      <w:tr w:rsidR="00B17F37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Default="00B17F37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Pr="00122110" w:rsidRDefault="00122110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122110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Забезпечення збереження енергоресурсів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B17F37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Pr="00122110" w:rsidRDefault="00122110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122110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Підтримка матеріально-технічного забезпечення та розвиток функціональної інформаційно-обчислювальної системи (заходи з інформатизації)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C076C3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C076C3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Pr="00F93F56" w:rsidRDefault="00C076C3" w:rsidP="00F93F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93F56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Здійснення департаментом житлово-комунального господарства наданих законодавством повноважень у сфері </w:t>
            </w:r>
            <w:r w:rsidRPr="00F93F56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житлово-комунального господарства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83FA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16 664</w:t>
            </w:r>
            <w:r w:rsidR="00DE6A3B">
              <w:rPr>
                <w:rFonts w:ascii="Times New Roman" w:hAnsi="Times New Roman"/>
                <w:spacing w:val="-2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800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8027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83FA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16 664 800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90924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16 184 790,42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7694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90924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16 184 790,42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6527F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-480 009,58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C340D3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6527F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-480 009,58</w:t>
            </w:r>
          </w:p>
        </w:tc>
      </w:tr>
      <w:tr w:rsidR="00C076C3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C076C3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Pr="00F93F56" w:rsidRDefault="00C076C3" w:rsidP="00F93F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93F56">
              <w:rPr>
                <w:rFonts w:ascii="Times New Roman" w:hAnsi="Times New Roman"/>
                <w:spacing w:val="-20"/>
                <w:sz w:val="20"/>
                <w:szCs w:val="20"/>
              </w:rPr>
              <w:t>Забезпечення збереження енергоресурсів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83FA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543 500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8027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83FA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543 500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90924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389 346,73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3954D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90924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389 346,73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6527F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-154 153,27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C4E61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6527F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-154 153,27</w:t>
            </w:r>
          </w:p>
        </w:tc>
      </w:tr>
      <w:tr w:rsidR="00C076C3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Pr="00323DFF" w:rsidRDefault="00C076C3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Pr="00F93F56" w:rsidRDefault="00C076C3" w:rsidP="00F93F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93F56">
              <w:rPr>
                <w:rFonts w:ascii="Times New Roman" w:hAnsi="Times New Roman"/>
                <w:spacing w:val="-20"/>
                <w:sz w:val="20"/>
                <w:szCs w:val="20"/>
              </w:rPr>
              <w:t>Підтримка матеріально-технічного забезпечення та розвиток функціональної інформаційно-обчислювальної системи (заходи з інформатизації)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83FA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1 179 000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83FA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83FA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1 229 000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90924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1 157 524,35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90924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46 270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90924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1 203 794,35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6527F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-21 475,65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6527F1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-3 730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6527F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-25 205,65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CC647F" w:rsidP="00CC647F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Відхилення виникли </w:t>
            </w:r>
            <w:r w:rsidR="001E6E5D" w:rsidRPr="00D609C4">
              <w:rPr>
                <w:lang w:val="uk-UA" w:eastAsia="en-US"/>
              </w:rPr>
              <w:t>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964C3A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964C3A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Pr="00515B29" w:rsidRDefault="00CC647F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274"/>
        <w:gridCol w:w="1135"/>
        <w:gridCol w:w="993"/>
        <w:gridCol w:w="1135"/>
        <w:gridCol w:w="1132"/>
        <w:gridCol w:w="993"/>
        <w:gridCol w:w="1132"/>
        <w:gridCol w:w="1419"/>
        <w:gridCol w:w="1419"/>
        <w:gridCol w:w="1147"/>
      </w:tblGrid>
      <w:tr w:rsidR="00A01D83" w:rsidRPr="00922F4C" w:rsidTr="0077520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0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31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77520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B00F86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922F4C" w:rsidRDefault="00B00F86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A01D83" w:rsidRDefault="001935A9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="00B00F86" w:rsidRPr="00E87C9A">
              <w:rPr>
                <w:rFonts w:ascii="Times New Roman" w:hAnsi="Times New Roman"/>
                <w:spacing w:val="-20"/>
                <w:sz w:val="20"/>
                <w:szCs w:val="20"/>
              </w:rPr>
              <w:t>идатки на утримання апарату управління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0123B2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0123B2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E02C2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16 184 790,42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E02C2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16 184 790,42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16 184 790,42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16 184 790,42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-480 009,58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-480 009,58</w:t>
            </w:r>
          </w:p>
        </w:tc>
      </w:tr>
      <w:tr w:rsidR="00B00F86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922F4C" w:rsidRDefault="00B00F86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A01D83" w:rsidRDefault="001935A9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="00B00F86" w:rsidRPr="00E87C9A">
              <w:rPr>
                <w:rFonts w:ascii="Times New Roman" w:hAnsi="Times New Roman"/>
                <w:spacing w:val="-20"/>
                <w:sz w:val="20"/>
                <w:szCs w:val="20"/>
              </w:rPr>
              <w:t>ількість штатних одиниць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0123B2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0123B2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штатний розпис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48,5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48,5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45,5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97116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45,5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97116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</w:tr>
      <w:tr w:rsidR="002B513B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Pr="00922F4C" w:rsidRDefault="002B513B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Pr="00A01D83" w:rsidRDefault="002B513B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</w:t>
            </w:r>
            <w:r w:rsidRPr="002B513B">
              <w:rPr>
                <w:rFonts w:ascii="Times New Roman" w:hAnsi="Times New Roman"/>
                <w:spacing w:val="-20"/>
                <w:sz w:val="20"/>
                <w:szCs w:val="20"/>
              </w:rPr>
              <w:t>бсяг видатків на оплату енергоносіїв та комунальних послуг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Pr="000123B2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Pr="000123B2" w:rsidRDefault="00350C9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 енергоносії</w:t>
            </w:r>
            <w:r w:rsidR="002B513B" w:rsidRPr="002B513B"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543 500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543 500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389 346,73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389 346,73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-154 153,27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-154 153,27</w:t>
            </w:r>
          </w:p>
        </w:tc>
      </w:tr>
      <w:tr w:rsidR="008E12D1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Pr="00922F4C" w:rsidRDefault="008E12D1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Pr="00A01D83" w:rsidRDefault="008E12D1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8E12D1">
              <w:rPr>
                <w:rFonts w:ascii="Times New Roman" w:hAnsi="Times New Roman"/>
                <w:spacing w:val="-20"/>
                <w:sz w:val="20"/>
                <w:szCs w:val="20"/>
              </w:rPr>
              <w:t>идатки на утримання апарату управління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Pr="000123B2" w:rsidRDefault="008E12D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Pr="000123B2" w:rsidRDefault="008E12D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E12D1">
              <w:rPr>
                <w:rFonts w:ascii="Times New Roman" w:hAnsi="Times New Roman"/>
                <w:spacing w:val="-20"/>
                <w:sz w:val="20"/>
                <w:szCs w:val="20"/>
              </w:rPr>
              <w:t>розрахунок потреби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1 179 000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1 179 000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1 157 524,35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8E12D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1 157 524,35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-21 475,65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-21 475,65</w:t>
            </w:r>
          </w:p>
        </w:tc>
      </w:tr>
      <w:tr w:rsidR="001367C3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A01D83" w:rsidRDefault="001367C3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1367C3">
              <w:rPr>
                <w:rFonts w:ascii="Times New Roman" w:hAnsi="Times New Roman"/>
                <w:spacing w:val="-20"/>
                <w:sz w:val="20"/>
                <w:szCs w:val="20"/>
              </w:rPr>
              <w:t>идатки на придбання предметів довгострокового користування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E12D1">
              <w:rPr>
                <w:rFonts w:ascii="Times New Roman" w:hAnsi="Times New Roman"/>
                <w:spacing w:val="-20"/>
                <w:sz w:val="20"/>
                <w:szCs w:val="20"/>
              </w:rPr>
              <w:t>розрахунок потреби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77520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E6EF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46 270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E6EF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46 270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E6EF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-3 730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E6EF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-3 730</w:t>
            </w:r>
          </w:p>
        </w:tc>
      </w:tr>
      <w:tr w:rsidR="001367C3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367C3" w:rsidRPr="00FE7229" w:rsidTr="0077520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FE7229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68D0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отриманих доручень, листів, звернень, зав, скарг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FE7229" w:rsidRDefault="001367C3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журнал реєстрацій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12 500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12 500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1339F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</w:t>
            </w:r>
            <w:r w:rsidR="001339F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370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39F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11 370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39F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-1 130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39F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-1 130</w:t>
            </w:r>
          </w:p>
        </w:tc>
      </w:tr>
      <w:tr w:rsidR="001367C3" w:rsidRPr="00922F4C" w:rsidTr="0077520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Pr="003A68D0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ількість відправленої </w:t>
            </w:r>
            <w:proofErr w:type="spellStart"/>
            <w:r w:rsidRPr="003A68D0">
              <w:rPr>
                <w:rFonts w:ascii="Times New Roman" w:hAnsi="Times New Roman"/>
                <w:spacing w:val="-20"/>
                <w:sz w:val="20"/>
                <w:szCs w:val="20"/>
              </w:rPr>
              <w:t>кореспонденцї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B77DB1" w:rsidRDefault="001367C3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журнал реєстрацій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1339F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5 </w:t>
            </w:r>
            <w:r w:rsidR="001339F9">
              <w:rPr>
                <w:rFonts w:ascii="Times New Roman" w:hAnsi="Times New Roman"/>
                <w:spacing w:val="-20"/>
                <w:sz w:val="20"/>
                <w:szCs w:val="20"/>
              </w:rPr>
              <w:t>520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1339F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5 </w:t>
            </w:r>
            <w:r w:rsidR="001339F9">
              <w:rPr>
                <w:rFonts w:ascii="Times New Roman" w:hAnsi="Times New Roman"/>
                <w:spacing w:val="-20"/>
                <w:sz w:val="20"/>
                <w:szCs w:val="20"/>
              </w:rPr>
              <w:t>520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39F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-480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39F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-480</w:t>
            </w:r>
          </w:p>
        </w:tc>
      </w:tr>
      <w:tr w:rsidR="001367C3" w:rsidRPr="00922F4C" w:rsidTr="0077520E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з</w:t>
            </w:r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агальна </w:t>
            </w:r>
            <w:proofErr w:type="spellStart"/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>плоша</w:t>
            </w:r>
            <w:proofErr w:type="spellEnd"/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>адмінприміщення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B77DB1" w:rsidRDefault="001367C3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6847">
              <w:rPr>
                <w:rFonts w:ascii="Times New Roman" w:hAnsi="Times New Roman"/>
                <w:sz w:val="20"/>
                <w:szCs w:val="20"/>
              </w:rPr>
              <w:t>технічний паспорт приміщення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956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1367C3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E822E8" w:rsidRDefault="001367C3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367C3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FE7229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ількість виконаних доручень на посадову особу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4C05D7" w:rsidP="004C05D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4C05D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258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4C05D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74586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4C05D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4C05D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74586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4C05D7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</w:t>
            </w:r>
          </w:p>
        </w:tc>
      </w:tr>
      <w:tr w:rsidR="001367C3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FE7229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итрати на утримання однієї штатної одиниці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6B248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343 604,12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6B248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343 604,12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6B248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355 709,68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B7145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6B248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355 709,68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6B248D" w:rsidRDefault="006B248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12 105,56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B7145F" w:rsidRDefault="00B7145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B7145F" w:rsidRDefault="006B248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12 105,56</w:t>
            </w:r>
          </w:p>
        </w:tc>
      </w:tr>
      <w:tr w:rsidR="001367C3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</w:t>
            </w:r>
            <w:r w:rsidRPr="001857D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бсяг видатків на одиницю площі </w:t>
            </w:r>
            <w:proofErr w:type="spellStart"/>
            <w:r w:rsidRPr="001857D1">
              <w:rPr>
                <w:rFonts w:ascii="Times New Roman" w:hAnsi="Times New Roman"/>
                <w:spacing w:val="-20"/>
                <w:sz w:val="20"/>
                <w:szCs w:val="20"/>
              </w:rPr>
              <w:t>адмінприміщення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од./гривень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09032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568,51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09032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568,51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09032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407,27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09032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407,27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09032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-161,24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09032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</w:t>
            </w:r>
            <w:r w:rsidR="002A58E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1,24</w:t>
            </w:r>
          </w:p>
        </w:tc>
      </w:tr>
      <w:tr w:rsidR="00C67D85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</w:t>
            </w:r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бсяг видатків на одиницю площі </w:t>
            </w: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адмінприміщення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грн</w:t>
            </w:r>
            <w:proofErr w:type="spellEnd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/</w:t>
            </w: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090329" w:rsidP="0009032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1 233,26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09032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52,30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09032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1 285,56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DF5DCE" w:rsidP="004F1D4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1 210,80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DF5DCE" w:rsidP="004F1D4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48,40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DF5DCE" w:rsidP="004F1D4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1 259,20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DF5DC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-22,46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DF5DC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-3,90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8360A0" w:rsidRDefault="008360A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-2</w:t>
            </w:r>
            <w:r w:rsidR="002A58E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6.36</w:t>
            </w:r>
          </w:p>
        </w:tc>
      </w:tr>
      <w:tr w:rsidR="00C67D85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итрати на утримання однієї штатної одиниці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грн</w:t>
            </w:r>
            <w:proofErr w:type="spellEnd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/од.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8360A0" w:rsidRDefault="008360A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24 309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8360A0" w:rsidRDefault="008360A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1 030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93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8360A0" w:rsidRDefault="008360A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25 340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8360A0" w:rsidRDefault="008360A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440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8360A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1 016,93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8360A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26 457,03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8F0355" w:rsidRDefault="007365B8" w:rsidP="007365B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-3 790,01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7365B8" w:rsidP="007365B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-220,88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A31B79" w:rsidP="007365B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-4 010,89</w:t>
            </w:r>
          </w:p>
        </w:tc>
      </w:tr>
      <w:tr w:rsidR="00C67D85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67D85" w:rsidRPr="00922F4C" w:rsidTr="0077520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FE722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ідсоток вчасно виконаних листів, звернень та </w:t>
            </w:r>
            <w:proofErr w:type="spellStart"/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ін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4E724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4E724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544702" w:rsidRDefault="004E7242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4E7242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4E724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4E724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2D56C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922F4C" w:rsidRDefault="002D56C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A01D83" w:rsidRDefault="002D56C6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E87C9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идатки на утримання апарату </w:t>
            </w:r>
            <w:r w:rsidRPr="00E87C9A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управління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0123B2" w:rsidRDefault="002D56C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3D153F" w:rsidRDefault="00C32756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32756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Відхилення виникли </w:t>
            </w:r>
            <w:r w:rsidR="0097539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C32756">
              <w:rPr>
                <w:rFonts w:ascii="Times New Roman" w:hAnsi="Times New Roman"/>
                <w:spacing w:val="-20"/>
                <w:sz w:val="20"/>
                <w:szCs w:val="20"/>
              </w:rPr>
              <w:t>відповідно до фактичної потреби.</w:t>
            </w:r>
          </w:p>
        </w:tc>
      </w:tr>
      <w:tr w:rsidR="002D56C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922F4C" w:rsidRDefault="002D56C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A01D83" w:rsidRDefault="002D56C6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Pr="00E87C9A">
              <w:rPr>
                <w:rFonts w:ascii="Times New Roman" w:hAnsi="Times New Roman"/>
                <w:spacing w:val="-20"/>
                <w:sz w:val="20"/>
                <w:szCs w:val="20"/>
              </w:rPr>
              <w:t>ількість штатних одиниць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0123B2" w:rsidRDefault="002D56C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3D153F" w:rsidRDefault="002D56C6" w:rsidP="0097539F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Відхилення </w:t>
            </w:r>
            <w:r w:rsidR="002A58E7">
              <w:rPr>
                <w:rFonts w:ascii="Times New Roman" w:hAnsi="Times New Roman"/>
                <w:spacing w:val="-20"/>
                <w:sz w:val="20"/>
                <w:szCs w:val="20"/>
              </w:rPr>
              <w:t>виникли у зв’язку з фактично зайнятими посадами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  <w:tr w:rsidR="00350C9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0C9A" w:rsidRPr="00922F4C" w:rsidRDefault="00350C9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0C9A" w:rsidRPr="00A01D83" w:rsidRDefault="00350C9A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</w:t>
            </w:r>
            <w:r w:rsidRPr="002B513B">
              <w:rPr>
                <w:rFonts w:ascii="Times New Roman" w:hAnsi="Times New Roman"/>
                <w:spacing w:val="-20"/>
                <w:sz w:val="20"/>
                <w:szCs w:val="20"/>
              </w:rPr>
              <w:t>бсяг видатків на оплату енергоносіїв та комунальних послуг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0C9A" w:rsidRPr="000123B2" w:rsidRDefault="00350C9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0C9A" w:rsidRPr="003D153F" w:rsidRDefault="00350C9A" w:rsidP="00F20C57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32756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Відхилення виникли </w:t>
            </w:r>
            <w:r w:rsidR="002A58E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C32756">
              <w:rPr>
                <w:rFonts w:ascii="Times New Roman" w:hAnsi="Times New Roman"/>
                <w:spacing w:val="-20"/>
                <w:sz w:val="20"/>
                <w:szCs w:val="20"/>
              </w:rPr>
              <w:t>відповідно до фактичної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A01D83" w:rsidRDefault="00FB694E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8E12D1">
              <w:rPr>
                <w:rFonts w:ascii="Times New Roman" w:hAnsi="Times New Roman"/>
                <w:spacing w:val="-20"/>
                <w:sz w:val="20"/>
                <w:szCs w:val="20"/>
              </w:rPr>
              <w:t>идатки на утримання апарату управління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F20C57">
            <w:pPr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</w:pPr>
            <w:proofErr w:type="spellStart"/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>Відхилення</w:t>
            </w:r>
            <w:proofErr w:type="spellEnd"/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>виникли</w:t>
            </w:r>
            <w:proofErr w:type="spellEnd"/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 xml:space="preserve"> </w:t>
            </w:r>
            <w:r w:rsidR="002A58E7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>відповідно</w:t>
            </w:r>
            <w:proofErr w:type="spellEnd"/>
            <w:proofErr w:type="gramEnd"/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>до</w:t>
            </w:r>
            <w:proofErr w:type="spellEnd"/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>фактичної</w:t>
            </w:r>
            <w:proofErr w:type="spellEnd"/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>потреби</w:t>
            </w:r>
            <w:proofErr w:type="spellEnd"/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>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A01D83" w:rsidRDefault="00FB694E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1367C3">
              <w:rPr>
                <w:rFonts w:ascii="Times New Roman" w:hAnsi="Times New Roman"/>
                <w:spacing w:val="-20"/>
                <w:sz w:val="20"/>
                <w:szCs w:val="20"/>
              </w:rPr>
              <w:t>идатки на придбання предметів довгострокового користування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F20C57">
            <w:pPr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</w:pPr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>Відхилення виникли відповідно до фактичної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FB694E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68D0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отриманих доручень, листів, звернень, зав, скарг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r w:rsidRPr="00256177">
              <w:rPr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Pr="003A68D0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ількість відправленої </w:t>
            </w:r>
            <w:proofErr w:type="spellStart"/>
            <w:r w:rsidRPr="003A68D0">
              <w:rPr>
                <w:rFonts w:ascii="Times New Roman" w:hAnsi="Times New Roman"/>
                <w:spacing w:val="-20"/>
                <w:sz w:val="20"/>
                <w:szCs w:val="20"/>
              </w:rPr>
              <w:t>кореспонденцї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r w:rsidRPr="00256177">
              <w:rPr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з</w:t>
            </w:r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агальна </w:t>
            </w:r>
            <w:proofErr w:type="spellStart"/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>плоша</w:t>
            </w:r>
            <w:proofErr w:type="spellEnd"/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>адмінприміщення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686AF4" w:rsidRDefault="00FB694E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відсутні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686AF4" w:rsidRDefault="00FB694E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ількість виконаних доручень на посадову особу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 w:rsidRPr="00256177"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56177">
              <w:rPr>
                <w:spacing w:val="-20"/>
                <w:sz w:val="20"/>
                <w:szCs w:val="20"/>
              </w:rPr>
              <w:t>виникли</w:t>
            </w:r>
            <w:proofErr w:type="spellEnd"/>
            <w:r w:rsidR="002A58E7"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proofErr w:type="gram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до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итрати на утримання однієї штатної одиниці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 w:rsidRPr="00256177"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56177">
              <w:rPr>
                <w:spacing w:val="-20"/>
                <w:sz w:val="20"/>
                <w:szCs w:val="20"/>
              </w:rPr>
              <w:t>виникли</w:t>
            </w:r>
            <w:proofErr w:type="spellEnd"/>
            <w:r w:rsidR="002A58E7"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proofErr w:type="gram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до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</w:t>
            </w:r>
            <w:r w:rsidRPr="001857D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бсяг видатків на одиницю площі </w:t>
            </w:r>
            <w:proofErr w:type="spellStart"/>
            <w:r w:rsidRPr="001857D1">
              <w:rPr>
                <w:rFonts w:ascii="Times New Roman" w:hAnsi="Times New Roman"/>
                <w:spacing w:val="-20"/>
                <w:sz w:val="20"/>
                <w:szCs w:val="20"/>
              </w:rPr>
              <w:t>адмінприміщення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од./гривень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 w:rsidRPr="00256177"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56177">
              <w:rPr>
                <w:spacing w:val="-20"/>
                <w:sz w:val="20"/>
                <w:szCs w:val="20"/>
              </w:rPr>
              <w:t>виникли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r w:rsidR="002A58E7"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proofErr w:type="gram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до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потреби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>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</w:t>
            </w:r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бсяг видатків на одиницю площі </w:t>
            </w: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адмінприміщення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грн</w:t>
            </w:r>
            <w:proofErr w:type="spellEnd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/</w:t>
            </w: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Default="002A58E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 w:rsidRPr="00256177"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виникли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r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відповідно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до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256177">
              <w:rPr>
                <w:spacing w:val="-20"/>
                <w:sz w:val="20"/>
                <w:szCs w:val="20"/>
              </w:rPr>
              <w:t>фактичної</w:t>
            </w:r>
            <w:proofErr w:type="spellEnd"/>
            <w:r w:rsidRPr="00256177">
              <w:rPr>
                <w:spacing w:val="-20"/>
                <w:sz w:val="20"/>
                <w:szCs w:val="20"/>
              </w:rPr>
              <w:t xml:space="preserve">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итрати на утримання однієї </w:t>
            </w:r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штатної одиниці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грн</w:t>
            </w:r>
            <w:proofErr w:type="spellEnd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/од.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Default="0025617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256177">
              <w:rPr>
                <w:spacing w:val="-20"/>
                <w:sz w:val="20"/>
                <w:szCs w:val="20"/>
              </w:rPr>
              <w:t>Відхилення виникли відповідно до фактичної потреби</w:t>
            </w:r>
            <w:r w:rsidRPr="00D609C4">
              <w:rPr>
                <w:lang w:val="uk-UA" w:eastAsia="en-US"/>
              </w:rPr>
              <w:t>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686AF4" w:rsidRDefault="00FB694E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ідсоток вчасно виконаних листів, звернень та </w:t>
            </w:r>
            <w:proofErr w:type="spellStart"/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ін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Default="00256177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відсутні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71092D" w:rsidP="003A69CE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Виділені кошти забезпечили</w:t>
            </w:r>
            <w:r w:rsidR="003A69CE">
              <w:rPr>
                <w:lang w:val="uk-UA" w:eastAsia="en-US"/>
              </w:rPr>
              <w:t xml:space="preserve"> потребу</w:t>
            </w:r>
            <w:r>
              <w:rPr>
                <w:lang w:val="uk-UA" w:eastAsia="en-US"/>
              </w:rPr>
              <w:t xml:space="preserve"> </w:t>
            </w:r>
            <w:r w:rsidR="003A69CE" w:rsidRPr="003A69CE">
              <w:rPr>
                <w:lang w:val="uk-UA" w:eastAsia="en-US"/>
              </w:rPr>
              <w:t>на утримання апарату управління</w:t>
            </w:r>
            <w:r w:rsidR="003A69CE" w:rsidRPr="0071092D">
              <w:rPr>
                <w:lang w:val="uk-UA" w:eastAsia="en-US"/>
              </w:rPr>
              <w:t xml:space="preserve"> </w:t>
            </w:r>
            <w:r w:rsidRPr="0071092D">
              <w:rPr>
                <w:lang w:val="uk-UA" w:eastAsia="en-US"/>
              </w:rPr>
              <w:t>відповідно до фактичної потреби.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37207E" w:rsidRDefault="003C59FB" w:rsidP="003C59FB">
            <w:pPr>
              <w:pStyle w:val="Ch63"/>
              <w:spacing w:before="57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Виділені кошти </w:t>
            </w:r>
            <w:r w:rsidRPr="003C59FB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забезпечили потребу</w:t>
            </w:r>
            <w:r w:rsidRPr="00C505ED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  <w:r w:rsidR="00C505ED" w:rsidRPr="00C505ED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 </w:t>
            </w:r>
            <w:r w:rsidRPr="003C59FB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утримання апарату управління</w:t>
            </w:r>
            <w:r w:rsidR="00560CDE">
              <w:rPr>
                <w:rFonts w:ascii="Times New Roman" w:hAnsi="Times New Roman" w:cs="Times New Roman"/>
                <w:w w:val="1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="00560CDE">
              <w:rPr>
                <w:rFonts w:ascii="Times New Roman" w:hAnsi="Times New Roman" w:cs="Times New Roman"/>
                <w:w w:val="100"/>
                <w:sz w:val="24"/>
                <w:szCs w:val="24"/>
                <w:lang w:val="en-US" w:eastAsia="en-US"/>
              </w:rPr>
              <w:t>кредиторська</w:t>
            </w:r>
            <w:proofErr w:type="spellEnd"/>
            <w:r w:rsidR="00560CDE">
              <w:rPr>
                <w:rFonts w:ascii="Times New Roman" w:hAnsi="Times New Roman" w:cs="Times New Roman"/>
                <w:w w:val="1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560CDE">
              <w:rPr>
                <w:rFonts w:ascii="Times New Roman" w:hAnsi="Times New Roman" w:cs="Times New Roman"/>
                <w:w w:val="100"/>
                <w:sz w:val="24"/>
                <w:szCs w:val="24"/>
                <w:lang w:val="en-US" w:eastAsia="en-US"/>
              </w:rPr>
              <w:t>заборгованість</w:t>
            </w:r>
            <w:proofErr w:type="spellEnd"/>
            <w:r w:rsidR="00560CDE">
              <w:rPr>
                <w:rFonts w:ascii="Times New Roman" w:hAnsi="Times New Roman" w:cs="Times New Roman"/>
                <w:w w:val="100"/>
                <w:sz w:val="24"/>
                <w:szCs w:val="24"/>
                <w:lang w:val="en-US" w:eastAsia="en-US"/>
              </w:rPr>
              <w:t xml:space="preserve"> </w:t>
            </w:r>
            <w:r w:rsidR="0037207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 кінець року відсутня.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2CA"/>
    <w:multiLevelType w:val="hybridMultilevel"/>
    <w:tmpl w:val="C02259BE"/>
    <w:lvl w:ilvl="0" w:tplc="40902E9E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71112"/>
    <w:rsid w:val="00080E5A"/>
    <w:rsid w:val="00090329"/>
    <w:rsid w:val="000A10C2"/>
    <w:rsid w:val="000A1326"/>
    <w:rsid w:val="000B1D5B"/>
    <w:rsid w:val="000C1557"/>
    <w:rsid w:val="000D0F88"/>
    <w:rsid w:val="000E201A"/>
    <w:rsid w:val="000E5868"/>
    <w:rsid w:val="000F048D"/>
    <w:rsid w:val="000F2580"/>
    <w:rsid w:val="000F68CC"/>
    <w:rsid w:val="00113DFD"/>
    <w:rsid w:val="00122110"/>
    <w:rsid w:val="00130D91"/>
    <w:rsid w:val="00131602"/>
    <w:rsid w:val="001339F9"/>
    <w:rsid w:val="001367C3"/>
    <w:rsid w:val="00141E6E"/>
    <w:rsid w:val="00157490"/>
    <w:rsid w:val="00165673"/>
    <w:rsid w:val="001719CD"/>
    <w:rsid w:val="001733F8"/>
    <w:rsid w:val="0018027D"/>
    <w:rsid w:val="0018176E"/>
    <w:rsid w:val="001857D1"/>
    <w:rsid w:val="001935A9"/>
    <w:rsid w:val="00194EC6"/>
    <w:rsid w:val="001C2DAB"/>
    <w:rsid w:val="001C4E61"/>
    <w:rsid w:val="001D6558"/>
    <w:rsid w:val="001E6E5D"/>
    <w:rsid w:val="001F634D"/>
    <w:rsid w:val="001F722A"/>
    <w:rsid w:val="00224BB4"/>
    <w:rsid w:val="00247102"/>
    <w:rsid w:val="00251634"/>
    <w:rsid w:val="00256177"/>
    <w:rsid w:val="0026592B"/>
    <w:rsid w:val="0027555A"/>
    <w:rsid w:val="00285C66"/>
    <w:rsid w:val="002A1EE1"/>
    <w:rsid w:val="002A3BF6"/>
    <w:rsid w:val="002A5197"/>
    <w:rsid w:val="002A58E7"/>
    <w:rsid w:val="002A5E9F"/>
    <w:rsid w:val="002A6DE4"/>
    <w:rsid w:val="002B26CF"/>
    <w:rsid w:val="002B513B"/>
    <w:rsid w:val="002D56C6"/>
    <w:rsid w:val="002F516F"/>
    <w:rsid w:val="003107BC"/>
    <w:rsid w:val="0031482E"/>
    <w:rsid w:val="003172E9"/>
    <w:rsid w:val="00320A36"/>
    <w:rsid w:val="00323DFF"/>
    <w:rsid w:val="00350C9A"/>
    <w:rsid w:val="00371BE6"/>
    <w:rsid w:val="0037207E"/>
    <w:rsid w:val="00373205"/>
    <w:rsid w:val="003770C4"/>
    <w:rsid w:val="00384E5F"/>
    <w:rsid w:val="00385565"/>
    <w:rsid w:val="003924B4"/>
    <w:rsid w:val="003954D8"/>
    <w:rsid w:val="003A68D0"/>
    <w:rsid w:val="003A69CE"/>
    <w:rsid w:val="003C49E9"/>
    <w:rsid w:val="003C59FB"/>
    <w:rsid w:val="003D0CEF"/>
    <w:rsid w:val="003D153F"/>
    <w:rsid w:val="003D3B96"/>
    <w:rsid w:val="003D6A06"/>
    <w:rsid w:val="003F6C45"/>
    <w:rsid w:val="0040123E"/>
    <w:rsid w:val="00401A23"/>
    <w:rsid w:val="00404CFA"/>
    <w:rsid w:val="00413CB4"/>
    <w:rsid w:val="00414066"/>
    <w:rsid w:val="00415428"/>
    <w:rsid w:val="00417D51"/>
    <w:rsid w:val="00432281"/>
    <w:rsid w:val="00435AE2"/>
    <w:rsid w:val="004428A8"/>
    <w:rsid w:val="00454104"/>
    <w:rsid w:val="00455101"/>
    <w:rsid w:val="00466866"/>
    <w:rsid w:val="004847AF"/>
    <w:rsid w:val="004A5CB6"/>
    <w:rsid w:val="004B0B23"/>
    <w:rsid w:val="004B5E4E"/>
    <w:rsid w:val="004B6AFB"/>
    <w:rsid w:val="004C05D7"/>
    <w:rsid w:val="004C6198"/>
    <w:rsid w:val="004D12FB"/>
    <w:rsid w:val="004E19B3"/>
    <w:rsid w:val="004E7242"/>
    <w:rsid w:val="004F1D49"/>
    <w:rsid w:val="005101A0"/>
    <w:rsid w:val="00514A89"/>
    <w:rsid w:val="00514B93"/>
    <w:rsid w:val="00515B29"/>
    <w:rsid w:val="00522DD3"/>
    <w:rsid w:val="00525890"/>
    <w:rsid w:val="00525A44"/>
    <w:rsid w:val="0053754B"/>
    <w:rsid w:val="0054357C"/>
    <w:rsid w:val="00544702"/>
    <w:rsid w:val="00556A57"/>
    <w:rsid w:val="005606D9"/>
    <w:rsid w:val="00560CDE"/>
    <w:rsid w:val="005742F8"/>
    <w:rsid w:val="00575164"/>
    <w:rsid w:val="00587A77"/>
    <w:rsid w:val="005D7562"/>
    <w:rsid w:val="005E4169"/>
    <w:rsid w:val="005E7701"/>
    <w:rsid w:val="005F3322"/>
    <w:rsid w:val="00610801"/>
    <w:rsid w:val="00623A79"/>
    <w:rsid w:val="006279FA"/>
    <w:rsid w:val="006527F1"/>
    <w:rsid w:val="006533B7"/>
    <w:rsid w:val="00663683"/>
    <w:rsid w:val="0066452C"/>
    <w:rsid w:val="00666C5D"/>
    <w:rsid w:val="00671B5F"/>
    <w:rsid w:val="00686AF4"/>
    <w:rsid w:val="00687517"/>
    <w:rsid w:val="00691748"/>
    <w:rsid w:val="00692B02"/>
    <w:rsid w:val="00692C30"/>
    <w:rsid w:val="006A1F86"/>
    <w:rsid w:val="006B248D"/>
    <w:rsid w:val="006B3F65"/>
    <w:rsid w:val="006B7C3A"/>
    <w:rsid w:val="006D57F7"/>
    <w:rsid w:val="006D720D"/>
    <w:rsid w:val="006E23FD"/>
    <w:rsid w:val="006F21A8"/>
    <w:rsid w:val="006F25FB"/>
    <w:rsid w:val="00701439"/>
    <w:rsid w:val="00706B8A"/>
    <w:rsid w:val="0071092D"/>
    <w:rsid w:val="0071680A"/>
    <w:rsid w:val="007258FF"/>
    <w:rsid w:val="007333A8"/>
    <w:rsid w:val="007365B8"/>
    <w:rsid w:val="00745860"/>
    <w:rsid w:val="0075056F"/>
    <w:rsid w:val="0077520E"/>
    <w:rsid w:val="00776948"/>
    <w:rsid w:val="007801AD"/>
    <w:rsid w:val="00782731"/>
    <w:rsid w:val="00783FAA"/>
    <w:rsid w:val="00790924"/>
    <w:rsid w:val="007A034F"/>
    <w:rsid w:val="007B764C"/>
    <w:rsid w:val="007D19AD"/>
    <w:rsid w:val="007D3DE4"/>
    <w:rsid w:val="007D42BF"/>
    <w:rsid w:val="007F35DA"/>
    <w:rsid w:val="008058DE"/>
    <w:rsid w:val="00811F0A"/>
    <w:rsid w:val="00825491"/>
    <w:rsid w:val="008360A0"/>
    <w:rsid w:val="008362D6"/>
    <w:rsid w:val="008424E0"/>
    <w:rsid w:val="0086016B"/>
    <w:rsid w:val="00884DD6"/>
    <w:rsid w:val="008866E4"/>
    <w:rsid w:val="008A4A51"/>
    <w:rsid w:val="008A689C"/>
    <w:rsid w:val="008B6847"/>
    <w:rsid w:val="008B7215"/>
    <w:rsid w:val="008C3B58"/>
    <w:rsid w:val="008C6232"/>
    <w:rsid w:val="008C7B93"/>
    <w:rsid w:val="008D21B9"/>
    <w:rsid w:val="008E12D1"/>
    <w:rsid w:val="008E71AC"/>
    <w:rsid w:val="008F0355"/>
    <w:rsid w:val="008F2352"/>
    <w:rsid w:val="00901418"/>
    <w:rsid w:val="0090560C"/>
    <w:rsid w:val="00906066"/>
    <w:rsid w:val="00912777"/>
    <w:rsid w:val="00922F4C"/>
    <w:rsid w:val="009449E3"/>
    <w:rsid w:val="009548B2"/>
    <w:rsid w:val="00964C3A"/>
    <w:rsid w:val="00967319"/>
    <w:rsid w:val="0097116A"/>
    <w:rsid w:val="00973E09"/>
    <w:rsid w:val="009740FF"/>
    <w:rsid w:val="0097539F"/>
    <w:rsid w:val="009A23FA"/>
    <w:rsid w:val="009A473B"/>
    <w:rsid w:val="009A6EB6"/>
    <w:rsid w:val="009B22C2"/>
    <w:rsid w:val="009C1DDD"/>
    <w:rsid w:val="009D0168"/>
    <w:rsid w:val="009F38F1"/>
    <w:rsid w:val="00A01D83"/>
    <w:rsid w:val="00A02F44"/>
    <w:rsid w:val="00A06D24"/>
    <w:rsid w:val="00A2531C"/>
    <w:rsid w:val="00A27506"/>
    <w:rsid w:val="00A31B79"/>
    <w:rsid w:val="00A33120"/>
    <w:rsid w:val="00A627AA"/>
    <w:rsid w:val="00A64311"/>
    <w:rsid w:val="00A74F96"/>
    <w:rsid w:val="00A753E0"/>
    <w:rsid w:val="00A90249"/>
    <w:rsid w:val="00AA0E71"/>
    <w:rsid w:val="00AA2EA1"/>
    <w:rsid w:val="00AB23B7"/>
    <w:rsid w:val="00AD7042"/>
    <w:rsid w:val="00AE5E9E"/>
    <w:rsid w:val="00AF6AA2"/>
    <w:rsid w:val="00B00F86"/>
    <w:rsid w:val="00B023D8"/>
    <w:rsid w:val="00B0698E"/>
    <w:rsid w:val="00B07E4D"/>
    <w:rsid w:val="00B12401"/>
    <w:rsid w:val="00B151AE"/>
    <w:rsid w:val="00B17F37"/>
    <w:rsid w:val="00B20E29"/>
    <w:rsid w:val="00B5343A"/>
    <w:rsid w:val="00B7145F"/>
    <w:rsid w:val="00B75C49"/>
    <w:rsid w:val="00B80011"/>
    <w:rsid w:val="00BA05AF"/>
    <w:rsid w:val="00BE55B2"/>
    <w:rsid w:val="00C05AFC"/>
    <w:rsid w:val="00C076C3"/>
    <w:rsid w:val="00C270AD"/>
    <w:rsid w:val="00C308BA"/>
    <w:rsid w:val="00C32756"/>
    <w:rsid w:val="00C340D3"/>
    <w:rsid w:val="00C505ED"/>
    <w:rsid w:val="00C67D85"/>
    <w:rsid w:val="00C83734"/>
    <w:rsid w:val="00C854BF"/>
    <w:rsid w:val="00CA551C"/>
    <w:rsid w:val="00CB60E0"/>
    <w:rsid w:val="00CC09CB"/>
    <w:rsid w:val="00CC1D17"/>
    <w:rsid w:val="00CC647F"/>
    <w:rsid w:val="00CD3D55"/>
    <w:rsid w:val="00CD7C4B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610A0"/>
    <w:rsid w:val="00D93FBD"/>
    <w:rsid w:val="00D95FA6"/>
    <w:rsid w:val="00DD06FB"/>
    <w:rsid w:val="00DD7F17"/>
    <w:rsid w:val="00DE6A3B"/>
    <w:rsid w:val="00DF5DCE"/>
    <w:rsid w:val="00E02C2D"/>
    <w:rsid w:val="00E12FC2"/>
    <w:rsid w:val="00E209E4"/>
    <w:rsid w:val="00E27F06"/>
    <w:rsid w:val="00E353BE"/>
    <w:rsid w:val="00E35522"/>
    <w:rsid w:val="00E36276"/>
    <w:rsid w:val="00E4471E"/>
    <w:rsid w:val="00E44769"/>
    <w:rsid w:val="00E650BC"/>
    <w:rsid w:val="00E75E83"/>
    <w:rsid w:val="00E822E8"/>
    <w:rsid w:val="00E86BA5"/>
    <w:rsid w:val="00E87C9A"/>
    <w:rsid w:val="00E930F2"/>
    <w:rsid w:val="00EA07D8"/>
    <w:rsid w:val="00EE12B5"/>
    <w:rsid w:val="00EE7333"/>
    <w:rsid w:val="00EF06CE"/>
    <w:rsid w:val="00EF589D"/>
    <w:rsid w:val="00EF5FE2"/>
    <w:rsid w:val="00F012E3"/>
    <w:rsid w:val="00F01DA0"/>
    <w:rsid w:val="00F11D5E"/>
    <w:rsid w:val="00F141EA"/>
    <w:rsid w:val="00F20C57"/>
    <w:rsid w:val="00F321D5"/>
    <w:rsid w:val="00F53DFD"/>
    <w:rsid w:val="00F55259"/>
    <w:rsid w:val="00F5603E"/>
    <w:rsid w:val="00F81ACD"/>
    <w:rsid w:val="00F93F56"/>
    <w:rsid w:val="00FA16C9"/>
    <w:rsid w:val="00FB694E"/>
    <w:rsid w:val="00FD0549"/>
    <w:rsid w:val="00FD1563"/>
    <w:rsid w:val="00FD3376"/>
    <w:rsid w:val="00FD71A1"/>
    <w:rsid w:val="00FE41B9"/>
    <w:rsid w:val="00FE6EF9"/>
    <w:rsid w:val="00FE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  <w:style w:type="paragraph" w:styleId="a4">
    <w:name w:val="List Paragraph"/>
    <w:basedOn w:val="a"/>
    <w:uiPriority w:val="34"/>
    <w:qFormat/>
    <w:rsid w:val="008F0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33C04-5778-4E90-99C8-DCD75F32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7</Pages>
  <Words>1216</Words>
  <Characters>8129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927</cp:revision>
  <dcterms:created xsi:type="dcterms:W3CDTF">2022-12-28T06:41:00Z</dcterms:created>
  <dcterms:modified xsi:type="dcterms:W3CDTF">2024-01-26T08:51:00Z</dcterms:modified>
</cp:coreProperties>
</file>