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4359"/>
        <w:gridCol w:w="426"/>
        <w:gridCol w:w="4502"/>
      </w:tblGrid>
      <w:tr w:rsidR="00C56A30" w:rsidRPr="00C56A30" w:rsidTr="0025500E">
        <w:tc>
          <w:tcPr>
            <w:tcW w:w="568" w:type="dxa"/>
          </w:tcPr>
          <w:p w:rsidR="00C56A30" w:rsidRPr="00C56A30" w:rsidRDefault="00C56A30" w:rsidP="00A65735">
            <w:pPr>
              <w:pStyle w:val="a4"/>
              <w:jc w:val="center"/>
              <w:rPr>
                <w:sz w:val="28"/>
                <w:szCs w:val="28"/>
              </w:rPr>
            </w:pPr>
            <w:r w:rsidRPr="00C56A30">
              <w:rPr>
                <w:b/>
                <w:bCs/>
                <w:sz w:val="28"/>
                <w:szCs w:val="28"/>
              </w:rPr>
              <w:t xml:space="preserve">№ </w:t>
            </w:r>
            <w:r w:rsidRPr="00C56A30"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59" w:type="dxa"/>
          </w:tcPr>
          <w:p w:rsidR="00C56A30" w:rsidRPr="00C56A30" w:rsidRDefault="00C56A30" w:rsidP="00A65735">
            <w:pPr>
              <w:pStyle w:val="a4"/>
              <w:jc w:val="center"/>
              <w:rPr>
                <w:sz w:val="28"/>
                <w:szCs w:val="28"/>
              </w:rPr>
            </w:pPr>
            <w:r w:rsidRPr="00C56A30">
              <w:rPr>
                <w:b/>
                <w:bCs/>
                <w:sz w:val="28"/>
                <w:szCs w:val="28"/>
                <w:lang w:val="uk-UA"/>
              </w:rPr>
              <w:t>Поточна редакція</w:t>
            </w:r>
          </w:p>
        </w:tc>
        <w:tc>
          <w:tcPr>
            <w:tcW w:w="426" w:type="dxa"/>
          </w:tcPr>
          <w:p w:rsidR="00C56A30" w:rsidRPr="00C56A30" w:rsidRDefault="00C5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C56A30" w:rsidRPr="00C56A30" w:rsidRDefault="00C56A30" w:rsidP="00C56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Нова редакція</w:t>
            </w:r>
          </w:p>
        </w:tc>
      </w:tr>
      <w:tr w:rsidR="00C56A30" w:rsidRPr="00C56A30" w:rsidTr="0025500E">
        <w:tc>
          <w:tcPr>
            <w:tcW w:w="568" w:type="dxa"/>
          </w:tcPr>
          <w:p w:rsidR="00C56A30" w:rsidRPr="00161E03" w:rsidRDefault="00C56A30" w:rsidP="00C56A3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 w:rsidRPr="00C56A30">
              <w:rPr>
                <w:sz w:val="26"/>
                <w:szCs w:val="26"/>
              </w:rPr>
              <w:t>1</w:t>
            </w:r>
            <w:r w:rsidR="00161E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4359" w:type="dxa"/>
          </w:tcPr>
          <w:p w:rsidR="00C56A30" w:rsidRPr="00C56A30" w:rsidRDefault="00C56A30" w:rsidP="00161E03">
            <w:pPr>
              <w:pStyle w:val="1"/>
              <w:ind w:left="0" w:firstLine="425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2.1.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 xml:space="preserve">Внутрішньо переміщеній особі та членам її сім’ї безплатно надається житлове приміщення з Фонду за місцем її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фактичного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проживання/перебування в межах території Територіальної громади.</w:t>
            </w:r>
            <w:bookmarkStart w:id="0" w:name="n59"/>
          </w:p>
          <w:bookmarkEnd w:id="0"/>
          <w:p w:rsidR="00C56A30" w:rsidRPr="00C56A30" w:rsidRDefault="00C56A30" w:rsidP="00A6573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6" w:type="dxa"/>
          </w:tcPr>
          <w:p w:rsidR="00C56A30" w:rsidRPr="00C56A30" w:rsidRDefault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C56A30" w:rsidRPr="00C56A30" w:rsidRDefault="00161E03" w:rsidP="00A65735">
            <w:pPr>
              <w:pStyle w:val="1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C56A30" w:rsidRPr="00C56A30">
              <w:rPr>
                <w:sz w:val="26"/>
                <w:szCs w:val="26"/>
                <w:lang w:val="ru-RU"/>
              </w:rPr>
              <w:t>2.1.</w:t>
            </w:r>
            <w:r w:rsidR="00C56A30" w:rsidRPr="00C56A30">
              <w:rPr>
                <w:sz w:val="26"/>
                <w:szCs w:val="26"/>
              </w:rPr>
              <w:t> </w:t>
            </w:r>
            <w:r w:rsidR="00C56A30" w:rsidRPr="00C56A30">
              <w:rPr>
                <w:sz w:val="26"/>
                <w:szCs w:val="26"/>
                <w:lang w:val="ru-RU"/>
              </w:rPr>
              <w:t xml:space="preserve">Внутрішньо переміщеній особі та членам її сім’ї безплатно надається житлове приміщення з Фонду за місцем її </w:t>
            </w:r>
            <w:proofErr w:type="gramStart"/>
            <w:r w:rsidR="00C56A30" w:rsidRPr="00C56A30">
              <w:rPr>
                <w:sz w:val="26"/>
                <w:szCs w:val="26"/>
                <w:lang w:val="ru-RU"/>
              </w:rPr>
              <w:t>фактичного</w:t>
            </w:r>
            <w:proofErr w:type="gramEnd"/>
            <w:r w:rsidR="00C56A30" w:rsidRPr="00C56A30">
              <w:rPr>
                <w:sz w:val="26"/>
                <w:szCs w:val="26"/>
                <w:lang w:val="ru-RU"/>
              </w:rPr>
              <w:t xml:space="preserve"> проживання/перебування в межах території Територіальної громади.</w:t>
            </w:r>
            <w:bookmarkStart w:id="1" w:name="n59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56A30">
              <w:rPr>
                <w:b/>
                <w:bCs/>
                <w:sz w:val="26"/>
                <w:szCs w:val="26"/>
                <w:lang w:val="ru-RU"/>
              </w:rPr>
              <w:t>Житлове приміщення з фонду не надається, якщо внутрішньо переміщена особа або будь-хто із членів її сім’ї має у власності житлове приміщення/частину житлового приміщення, придатне для проживання, розміром не менше ніж 13,65 кв. метра на одну особу, що розташоване на територіях, не включених до переліку територій, на яких</w:t>
            </w:r>
            <w:proofErr w:type="gramEnd"/>
            <w:r w:rsidRPr="00C56A30">
              <w:rPr>
                <w:b/>
                <w:bCs/>
                <w:sz w:val="26"/>
                <w:szCs w:val="26"/>
                <w:lang w:val="ru-RU"/>
              </w:rPr>
              <w:t xml:space="preserve"> ведуться (велися) бойові дії або тимчасово окупованих</w:t>
            </w:r>
            <w:proofErr w:type="gramStart"/>
            <w:r w:rsidRPr="00C56A30">
              <w:rPr>
                <w:b/>
                <w:bCs/>
                <w:sz w:val="26"/>
                <w:szCs w:val="26"/>
                <w:lang w:val="ru-RU"/>
              </w:rPr>
              <w:t xml:space="preserve"> Р</w:t>
            </w:r>
            <w:proofErr w:type="gramEnd"/>
            <w:r w:rsidRPr="00C56A30">
              <w:rPr>
                <w:b/>
                <w:bCs/>
                <w:sz w:val="26"/>
                <w:szCs w:val="26"/>
                <w:lang w:val="ru-RU"/>
              </w:rPr>
              <w:t>осійською Федерацією, затвердженого Мінреінтеграції, або на територіях, включених до зазначеного переліку, для яких визначено дату завершення бойових дій (припинення можливості бойових дій) або тимчасової окупації.</w:t>
            </w:r>
          </w:p>
          <w:bookmarkEnd w:id="1"/>
          <w:p w:rsidR="00C56A30" w:rsidRPr="00C56A30" w:rsidRDefault="00C56A30" w:rsidP="00A6573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61E03" w:rsidRPr="00C56A30" w:rsidTr="0025500E">
        <w:tc>
          <w:tcPr>
            <w:tcW w:w="568" w:type="dxa"/>
          </w:tcPr>
          <w:p w:rsidR="00161E03" w:rsidRPr="00161E03" w:rsidRDefault="00161E03" w:rsidP="00C56A3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4359" w:type="dxa"/>
          </w:tcPr>
          <w:p w:rsidR="00161E03" w:rsidRDefault="00161E03" w:rsidP="00161E03">
            <w:pPr>
              <w:pStyle w:val="ListParagraph"/>
              <w:ind w:left="0" w:firstLine="425"/>
              <w:jc w:val="both"/>
            </w:pPr>
            <w:r>
              <w:rPr>
                <w:sz w:val="28"/>
                <w:szCs w:val="28"/>
              </w:rPr>
              <w:t xml:space="preserve">2.4. На підставі абзацу 2 пункту 5 Постанови 495 відповідно до Договору про грант першочергове право на забезпечення житловим приміщенням з Фонду мають здобувачі вищої освіти, наукові, науково-педагогічні та педагогічні працівники ДВНЗ «Донецький  національний  технічний університет», його відокремлених структурних  підрозділів «Бахмутський індустріальний  фаховий коледж» і «Костянтинівський  індустріальний  фаховий  коледж» та члени їх сімей, які мають статус ВПО; </w:t>
            </w:r>
          </w:p>
          <w:p w:rsidR="00161E03" w:rsidRDefault="00161E03" w:rsidP="00161E03">
            <w:pPr>
              <w:pStyle w:val="ListParagraph"/>
              <w:ind w:left="0" w:firstLine="567"/>
              <w:jc w:val="both"/>
            </w:pPr>
            <w:r>
              <w:rPr>
                <w:sz w:val="28"/>
                <w:szCs w:val="28"/>
              </w:rPr>
              <w:t xml:space="preserve">у другу чергу право на </w:t>
            </w:r>
            <w:r>
              <w:rPr>
                <w:sz w:val="28"/>
                <w:szCs w:val="28"/>
              </w:rPr>
              <w:lastRenderedPageBreak/>
              <w:t>забезпечення житловими приміщеннями мають здобувачі вищої освіти, наукові, науково-педагогічні та педагогічні працівники Луцького національного технічного університету та члени їх сімей, які мають статус ВПО;</w:t>
            </w:r>
          </w:p>
          <w:p w:rsidR="00161E03" w:rsidRPr="00161E03" w:rsidRDefault="00161E03" w:rsidP="00161E03">
            <w:pPr>
              <w:pStyle w:val="ListParagraph"/>
              <w:ind w:left="0" w:firstLine="567"/>
              <w:jc w:val="both"/>
              <w:rPr>
                <w:lang w:val="ru-RU"/>
              </w:rPr>
            </w:pPr>
            <w:r w:rsidRPr="00161E03">
              <w:rPr>
                <w:sz w:val="28"/>
                <w:szCs w:val="28"/>
                <w:lang w:val="ru-RU"/>
              </w:rPr>
              <w:t xml:space="preserve">у третю чергу право на забезпечення житловими приміщеннями з Фонду мають інші ВПО та члени їх </w:t>
            </w:r>
            <w:proofErr w:type="gramStart"/>
            <w:r w:rsidRPr="00161E03">
              <w:rPr>
                <w:sz w:val="28"/>
                <w:szCs w:val="28"/>
                <w:lang w:val="ru-RU"/>
              </w:rPr>
              <w:t>сімей</w:t>
            </w:r>
            <w:proofErr w:type="gramEnd"/>
            <w:r w:rsidRPr="00161E03">
              <w:rPr>
                <w:sz w:val="28"/>
                <w:szCs w:val="28"/>
                <w:lang w:val="ru-RU"/>
              </w:rPr>
              <w:t xml:space="preserve"> за нарахованими балами відповідно до бальної системи, встановленої пунктом 3.2. цього Порядку. Для цілей бальної системи за пунктом 3.2. цього Порядку,</w:t>
            </w:r>
            <w:r w:rsidRPr="00161E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161E03">
              <w:rPr>
                <w:sz w:val="28"/>
                <w:szCs w:val="28"/>
                <w:lang w:val="ru-RU"/>
              </w:rPr>
              <w:t>першочергове в рамках третьої черги право (</w:t>
            </w:r>
            <w:proofErr w:type="gramStart"/>
            <w:r w:rsidRPr="00161E03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161E03">
              <w:rPr>
                <w:sz w:val="28"/>
                <w:szCs w:val="28"/>
                <w:lang w:val="ru-RU"/>
              </w:rPr>
              <w:t>іоритетні критерії) на забезпечення житловим приміщенням з Фонду мають:</w:t>
            </w:r>
            <w:r>
              <w:rPr>
                <w:sz w:val="28"/>
                <w:szCs w:val="28"/>
              </w:rPr>
              <w:t> </w:t>
            </w:r>
            <w:r w:rsidRPr="00161E03">
              <w:rPr>
                <w:sz w:val="28"/>
                <w:szCs w:val="28"/>
                <w:lang w:val="ru-RU"/>
              </w:rPr>
              <w:t>багатодітні сім’ї, сім’ї з дітьми, вагітні жінки, особи, які втратили працездатність, особи пенсійного віку, з-поміж тих, житло яких було зруйновано або стало непридатним для проживання внаслідок збройної агресії російської федерації.</w:t>
            </w:r>
          </w:p>
          <w:p w:rsidR="00161E03" w:rsidRPr="00161E03" w:rsidRDefault="00161E03" w:rsidP="00A6573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6" w:type="dxa"/>
          </w:tcPr>
          <w:p w:rsidR="00161E03" w:rsidRPr="00C56A30" w:rsidRDefault="00161E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161E03" w:rsidRPr="00161E03" w:rsidRDefault="00161E03" w:rsidP="00161E03">
            <w:pPr>
              <w:pStyle w:val="ListParagraph"/>
              <w:ind w:left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161E03">
              <w:rPr>
                <w:sz w:val="28"/>
                <w:szCs w:val="28"/>
                <w:lang w:val="uk-UA"/>
              </w:rPr>
              <w:t>2.4.</w:t>
            </w:r>
            <w:r>
              <w:rPr>
                <w:sz w:val="28"/>
                <w:szCs w:val="28"/>
              </w:rPr>
              <w:t> </w:t>
            </w:r>
            <w:r w:rsidRPr="00161E03">
              <w:rPr>
                <w:sz w:val="28"/>
                <w:szCs w:val="28"/>
                <w:lang w:val="uk-UA"/>
              </w:rPr>
              <w:t xml:space="preserve">На підставі абзацу 2 пункту 5 Постанови 495 відповідно до Договору про грант першочергове право на забезпечення житловим приміщенням з Фонду мають здобувачі вищої освіти, наукові, науково-педагогічні та педагогічні працівники ДВНЗ «Донецький  національний  технічний університет», його відокремлених структурних  підрозділів «Бахмутський індустріальний  фаховий коледж» і «Костянтинівський  індустріальний  фаховий  коледж» та члени їх сімей, які мають статус ВПО; </w:t>
            </w:r>
          </w:p>
          <w:p w:rsidR="00161E03" w:rsidRPr="00161E03" w:rsidRDefault="00161E03" w:rsidP="00161E03">
            <w:pPr>
              <w:pStyle w:val="ListParagraph"/>
              <w:ind w:left="0" w:firstLine="567"/>
              <w:jc w:val="both"/>
              <w:rPr>
                <w:lang w:val="uk-UA"/>
              </w:rPr>
            </w:pPr>
            <w:r w:rsidRPr="00161E03">
              <w:rPr>
                <w:sz w:val="28"/>
                <w:szCs w:val="28"/>
                <w:lang w:val="uk-UA"/>
              </w:rPr>
              <w:t xml:space="preserve">у другу чергу право на забезпечення житловими </w:t>
            </w:r>
            <w:r w:rsidRPr="00161E03">
              <w:rPr>
                <w:sz w:val="28"/>
                <w:szCs w:val="28"/>
                <w:lang w:val="uk-UA"/>
              </w:rPr>
              <w:lastRenderedPageBreak/>
              <w:t>приміщеннями мають здобувачі вищої освіти, наукові, науково-педагогічні та педагогічні працівники Луцького національного технічного університету та члени їх сімей, які мають статус ВПО;</w:t>
            </w:r>
          </w:p>
          <w:p w:rsidR="00161E03" w:rsidRPr="00161E03" w:rsidRDefault="00161E03" w:rsidP="00161E03">
            <w:pPr>
              <w:pStyle w:val="ListParagraph"/>
              <w:ind w:left="0" w:firstLine="567"/>
              <w:jc w:val="both"/>
              <w:rPr>
                <w:lang w:val="ru-RU"/>
              </w:rPr>
            </w:pPr>
            <w:r w:rsidRPr="00161E03">
              <w:rPr>
                <w:sz w:val="28"/>
                <w:szCs w:val="28"/>
                <w:lang w:val="ru-RU"/>
              </w:rPr>
              <w:t xml:space="preserve">у третю чергу право на забезпечення житловими приміщеннями з Фонду мають інші ВПО та члени їх </w:t>
            </w:r>
            <w:proofErr w:type="gramStart"/>
            <w:r w:rsidRPr="00161E03">
              <w:rPr>
                <w:sz w:val="28"/>
                <w:szCs w:val="28"/>
                <w:lang w:val="ru-RU"/>
              </w:rPr>
              <w:t>сімей</w:t>
            </w:r>
            <w:proofErr w:type="gramEnd"/>
            <w:r w:rsidRPr="00161E03">
              <w:rPr>
                <w:sz w:val="28"/>
                <w:szCs w:val="28"/>
                <w:lang w:val="ru-RU"/>
              </w:rPr>
              <w:t xml:space="preserve"> за нарахованими балами відповідно до бальної системи, встановленої пунктом 3.2. цього Порядку. Для цілей бальної системи за пунктом 3.2. цього Порядку,</w:t>
            </w:r>
            <w:r w:rsidRPr="00161E03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161E03">
              <w:rPr>
                <w:sz w:val="28"/>
                <w:szCs w:val="28"/>
                <w:lang w:val="ru-RU"/>
              </w:rPr>
              <w:t>першочергове в рамках третьої черги право (</w:t>
            </w:r>
            <w:proofErr w:type="gramStart"/>
            <w:r w:rsidRPr="00161E03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161E03">
              <w:rPr>
                <w:sz w:val="28"/>
                <w:szCs w:val="28"/>
                <w:lang w:val="ru-RU"/>
              </w:rPr>
              <w:t>іоритетні критерії) на забезпечення житловим приміщенням з Фонду мають:</w:t>
            </w:r>
            <w:r>
              <w:rPr>
                <w:sz w:val="28"/>
                <w:szCs w:val="28"/>
              </w:rPr>
              <w:t> </w:t>
            </w:r>
            <w:r w:rsidRPr="00161E03">
              <w:rPr>
                <w:sz w:val="28"/>
                <w:szCs w:val="28"/>
                <w:lang w:val="ru-RU"/>
              </w:rPr>
              <w:t>багатодітні сім’ї, сім’ї з дітьми, вагітні жінки, особи, які втратили працездатність, особи пенсійного віку, з-поміж тих, житло яких було зруйновано або стало непридатним для проживання внаслідок збройної агресії російської федерації.</w:t>
            </w:r>
          </w:p>
          <w:p w:rsidR="00161E03" w:rsidRPr="00161E03" w:rsidRDefault="00161E03" w:rsidP="00161E03">
            <w:pPr>
              <w:pStyle w:val="ListParagraph"/>
              <w:ind w:left="0" w:firstLine="567"/>
              <w:jc w:val="both"/>
              <w:rPr>
                <w:lang w:val="ru-RU"/>
              </w:rPr>
            </w:pPr>
            <w:r w:rsidRPr="00161E03">
              <w:rPr>
                <w:b/>
                <w:bCs/>
                <w:sz w:val="28"/>
                <w:szCs w:val="28"/>
                <w:lang w:val="ru-RU"/>
              </w:rPr>
              <w:t xml:space="preserve">У період воєнного стану та протягом шести місяців </w:t>
            </w:r>
            <w:proofErr w:type="gramStart"/>
            <w:r w:rsidRPr="00161E03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61E03">
              <w:rPr>
                <w:b/>
                <w:bCs/>
                <w:sz w:val="28"/>
                <w:szCs w:val="28"/>
                <w:lang w:val="ru-RU"/>
              </w:rPr>
              <w:t>ісля його припинення або скасування зазначені категорії внутрішньо переміщених осіб мають пільги, передбачені пунктом 2-1 статті 20 Закону України “Про забезпечення прав і свобод внутрішньо переміщених осіб”.</w:t>
            </w:r>
            <w:bookmarkStart w:id="2" w:name="_GoBack"/>
          </w:p>
          <w:bookmarkEnd w:id="2"/>
          <w:p w:rsidR="00161E03" w:rsidRPr="00C56A30" w:rsidRDefault="00161E03" w:rsidP="00A65735">
            <w:pPr>
              <w:pStyle w:val="1"/>
              <w:ind w:left="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C56A30" w:rsidRPr="00C56A30" w:rsidTr="0025500E">
        <w:tc>
          <w:tcPr>
            <w:tcW w:w="568" w:type="dxa"/>
          </w:tcPr>
          <w:p w:rsidR="00C56A30" w:rsidRPr="00161E03" w:rsidRDefault="00161E03" w:rsidP="00C56A30">
            <w:pPr>
              <w:pStyle w:val="a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4359" w:type="dxa"/>
          </w:tcPr>
          <w:p w:rsidR="00C56A30" w:rsidRPr="00C56A30" w:rsidRDefault="00C56A30" w:rsidP="00161E03">
            <w:pPr>
              <w:ind w:firstLine="5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A30">
              <w:rPr>
                <w:rFonts w:ascii="Times New Roman" w:hAnsi="Times New Roman" w:cs="Times New Roman"/>
                <w:sz w:val="26"/>
                <w:szCs w:val="26"/>
              </w:rPr>
              <w:t>2.9. У разі подання документів, що містять неправдиві відомості, ВПО несе відповідальність згідно із законом.</w:t>
            </w:r>
          </w:p>
        </w:tc>
        <w:tc>
          <w:tcPr>
            <w:tcW w:w="426" w:type="dxa"/>
          </w:tcPr>
          <w:p w:rsidR="00C56A30" w:rsidRPr="00C56A30" w:rsidRDefault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C56A30" w:rsidRPr="00C56A30" w:rsidRDefault="00C56A30" w:rsidP="00161E03">
            <w:pPr>
              <w:pStyle w:val="1"/>
              <w:ind w:left="0" w:firstLine="459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2.9.</w:t>
            </w:r>
            <w:r w:rsidRPr="00C56A30">
              <w:rPr>
                <w:sz w:val="26"/>
                <w:szCs w:val="26"/>
              </w:rPr>
              <w:t> 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разі подання документів, що містять </w:t>
            </w:r>
            <w:r w:rsidRPr="00C56A30">
              <w:rPr>
                <w:b/>
                <w:bCs/>
                <w:sz w:val="26"/>
                <w:szCs w:val="26"/>
                <w:lang w:val="ru-RU"/>
              </w:rPr>
              <w:t>недостовірні</w:t>
            </w:r>
            <w:r w:rsidRPr="00C56A30">
              <w:rPr>
                <w:sz w:val="26"/>
                <w:szCs w:val="26"/>
                <w:lang w:val="ru-RU"/>
              </w:rPr>
              <w:t xml:space="preserve"> відомості, ВПО несе відповідальність згідно із законом.</w:t>
            </w:r>
            <w:bookmarkStart w:id="3" w:name="n78"/>
          </w:p>
          <w:bookmarkEnd w:id="3"/>
          <w:p w:rsidR="00C56A30" w:rsidRPr="00C56A30" w:rsidRDefault="00C56A30" w:rsidP="00A6573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56A30" w:rsidRPr="00C56A30" w:rsidTr="0025500E">
        <w:tc>
          <w:tcPr>
            <w:tcW w:w="568" w:type="dxa"/>
          </w:tcPr>
          <w:p w:rsidR="00C56A30" w:rsidRPr="00161E03" w:rsidRDefault="00161E03" w:rsidP="00C56A30">
            <w:pPr>
              <w:pStyle w:val="a4"/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4359" w:type="dxa"/>
          </w:tcPr>
          <w:p w:rsidR="00C56A30" w:rsidRPr="00C56A30" w:rsidRDefault="00C56A30" w:rsidP="00161E03">
            <w:pPr>
              <w:pStyle w:val="1"/>
              <w:ind w:left="0" w:firstLine="425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2.14.</w:t>
            </w:r>
            <w:r w:rsidRPr="00C56A30">
              <w:rPr>
                <w:sz w:val="26"/>
                <w:szCs w:val="26"/>
              </w:rPr>
              <w:t> 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ідставами для відмови у взятті ВПО на облік громадян, що потребують житла для тимчасового проживання, є: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lastRenderedPageBreak/>
              <w:t>неподання необхідного пакета документів, зазначених у пункті 2.7.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 xml:space="preserve">цього Порядку (крім випадків, коли такі документи були знищені або пошкоджені, що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ідтверджується відповідною заявою громадянина);</w:t>
            </w:r>
            <w:bookmarkStart w:id="4" w:name="n851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color w:val="C9211E"/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подання документів, що містять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ідомо недостовірні відомості</w:t>
            </w:r>
            <w:r w:rsidRPr="00C56A30">
              <w:rPr>
                <w:color w:val="C9211E"/>
                <w:sz w:val="26"/>
                <w:szCs w:val="26"/>
                <w:lang w:val="ru-RU"/>
              </w:rPr>
              <w:t>.</w:t>
            </w:r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подання документів, що містять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ідомо недостовірні відомості</w:t>
            </w:r>
            <w:r w:rsidRPr="00C56A30">
              <w:rPr>
                <w:color w:val="C9211E"/>
                <w:sz w:val="26"/>
                <w:szCs w:val="26"/>
                <w:lang w:val="ru-RU"/>
              </w:rPr>
              <w:t>.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</w:p>
          <w:bookmarkEnd w:id="4"/>
          <w:p w:rsidR="00C56A30" w:rsidRPr="00C56A30" w:rsidRDefault="00C56A30" w:rsidP="00A6573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6" w:type="dxa"/>
          </w:tcPr>
          <w:p w:rsidR="00C56A30" w:rsidRPr="00C56A30" w:rsidRDefault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C56A30" w:rsidRPr="00C56A30" w:rsidRDefault="00161E03" w:rsidP="00A65735">
            <w:pPr>
              <w:pStyle w:val="1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  <w:r w:rsidR="00C56A30" w:rsidRPr="00C56A30">
              <w:rPr>
                <w:sz w:val="26"/>
                <w:szCs w:val="26"/>
                <w:lang w:val="ru-RU"/>
              </w:rPr>
              <w:t>2.14.</w:t>
            </w:r>
            <w:r w:rsidR="00C56A30" w:rsidRPr="00C56A30">
              <w:rPr>
                <w:sz w:val="26"/>
                <w:szCs w:val="26"/>
              </w:rPr>
              <w:t> </w:t>
            </w:r>
            <w:proofErr w:type="gramStart"/>
            <w:r w:rsidR="00C56A30"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="00C56A30" w:rsidRPr="00C56A30">
              <w:rPr>
                <w:sz w:val="26"/>
                <w:szCs w:val="26"/>
                <w:lang w:val="ru-RU"/>
              </w:rPr>
              <w:t>ідставами для відмови у взятті ВПО на облік громадян, що потребують житла для тимчасового проживання, є: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lastRenderedPageBreak/>
              <w:t>неподання необхідного пакета документів, зазначених у пункті 2.7.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 xml:space="preserve">цього Порядку (крім випадків, коли такі документи були знищені або пошкоджені, що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ідтверджується відповідною заявою громадянина);</w:t>
            </w:r>
            <w:bookmarkStart w:id="5" w:name="n85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подання документів, що містять недостовірні відомості.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b/>
                <w:bCs/>
                <w:sz w:val="26"/>
                <w:szCs w:val="26"/>
                <w:lang w:val="ru-RU"/>
              </w:rPr>
              <w:t xml:space="preserve">не може бути </w:t>
            </w:r>
            <w:proofErr w:type="gramStart"/>
            <w:r w:rsidRPr="00C56A30">
              <w:rPr>
                <w:b/>
                <w:bCs/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b/>
                <w:bCs/>
                <w:sz w:val="26"/>
                <w:szCs w:val="26"/>
                <w:lang w:val="ru-RU"/>
              </w:rPr>
              <w:t>ідставою для відмови у взятті внутрішньо переміщених осіб на облік громадян, що потребують житла для тимчасового проживання, відсутність на момент їх звернення фонду.</w:t>
            </w:r>
          </w:p>
          <w:bookmarkEnd w:id="5"/>
          <w:p w:rsidR="00C56A30" w:rsidRPr="00C56A30" w:rsidRDefault="00C56A30" w:rsidP="00A6573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56A30" w:rsidRPr="00C56A30" w:rsidTr="0025500E">
        <w:tc>
          <w:tcPr>
            <w:tcW w:w="568" w:type="dxa"/>
          </w:tcPr>
          <w:p w:rsidR="00C56A30" w:rsidRPr="00161E03" w:rsidRDefault="00161E03" w:rsidP="00C56A30">
            <w:pPr>
              <w:pStyle w:val="a4"/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4359" w:type="dxa"/>
          </w:tcPr>
          <w:p w:rsidR="00C56A30" w:rsidRPr="00C56A30" w:rsidRDefault="00C56A30" w:rsidP="00161E03">
            <w:pPr>
              <w:pStyle w:val="1"/>
              <w:ind w:left="0" w:firstLine="425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2.15.</w:t>
            </w:r>
            <w:r w:rsidRPr="00C56A30">
              <w:rPr>
                <w:sz w:val="26"/>
                <w:szCs w:val="26"/>
              </w:rPr>
              <w:t> 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ідставами для зняття ВПО з обліку громадян, що потребують житла для тимчасового проживання відповідно до цього Порядку, є: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заява ВПО про зняття з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обл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іку;</w:t>
            </w:r>
            <w:bookmarkStart w:id="6" w:name="n88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зміна ВПО місця проживання;</w:t>
            </w:r>
            <w:bookmarkStart w:id="7" w:name="n89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причини, що не дають їй можливості отримати ордер на вселення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житлове приміщення;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подання завідомо недостовірних відомостей, що є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ідставою для взяття ВПО на облік громадян, що потребують житла для тимчасового проживання;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скасування дії довідки про взяття на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обл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ік ВПО за наявності підстав.</w:t>
            </w:r>
            <w:bookmarkStart w:id="8" w:name="n90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ідставою для скасування дії довідки про взяття на облік ВПО та внесення відомостей про це в Єдину інформаційну базу даних про внутрішньо переміщених осіб є обставини, за яких ВПО: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подала заяву про відмову від довідки;</w:t>
            </w:r>
            <w:bookmarkStart w:id="9" w:name="n173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56A30">
              <w:rPr>
                <w:sz w:val="26"/>
                <w:szCs w:val="26"/>
                <w:lang w:val="ru-RU"/>
              </w:rPr>
              <w:t>скоїла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кримінальне правопорушення: дії, спрямовані на насильницьку зміну чи повалення </w:t>
            </w:r>
            <w:r w:rsidRPr="00C56A30">
              <w:rPr>
                <w:sz w:val="26"/>
                <w:szCs w:val="26"/>
                <w:lang w:val="ru-RU"/>
              </w:rPr>
              <w:lastRenderedPageBreak/>
              <w:t xml:space="preserve">конституційного ладу або на захоплення державної влади; посягання на територіальну цілісність і недоторканність України; терористичний акт; втягнення у вчинення терористичного акту; публічні заклики до вчинення терористичного акту; створення терористичної групи чи терористичної організації; сприяння вчиненню терористичного акту; фінансування тероризму; вчинення кримінального правопорушення проти миру, безпеки людства та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іжнародного правопорядку або військового кримінального правопорушення;</w:t>
            </w:r>
            <w:bookmarkStart w:id="10" w:name="n174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повернулася до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покинутого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місця постійного проживання;</w:t>
            </w:r>
            <w:bookmarkStart w:id="11" w:name="n17511"/>
            <w:bookmarkStart w:id="12" w:name="n3801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виїхала на постійне місце проживання за кордон;</w:t>
            </w:r>
            <w:bookmarkStart w:id="13" w:name="n17611"/>
          </w:p>
          <w:p w:rsidR="00C56A30" w:rsidRPr="00C56A30" w:rsidRDefault="00C56A30" w:rsidP="00A65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n17711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C56A30">
              <w:rPr>
                <w:rFonts w:ascii="Times New Roman" w:hAnsi="Times New Roman" w:cs="Times New Roman"/>
                <w:sz w:val="26"/>
                <w:szCs w:val="26"/>
              </w:rPr>
              <w:t>подала свідомо недостовірних відомостей.</w:t>
            </w:r>
            <w:bookmarkEnd w:id="14"/>
          </w:p>
        </w:tc>
        <w:tc>
          <w:tcPr>
            <w:tcW w:w="426" w:type="dxa"/>
          </w:tcPr>
          <w:p w:rsidR="00C56A30" w:rsidRPr="00C56A30" w:rsidRDefault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C56A30" w:rsidRPr="00C56A30" w:rsidRDefault="005E1D88" w:rsidP="00161E03">
            <w:pPr>
              <w:pStyle w:val="1"/>
              <w:ind w:left="0" w:firstLine="45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C56A30" w:rsidRPr="00C56A30">
              <w:rPr>
                <w:sz w:val="26"/>
                <w:szCs w:val="26"/>
                <w:lang w:val="ru-RU"/>
              </w:rPr>
              <w:t>.15.</w:t>
            </w:r>
            <w:r w:rsidR="00C56A30" w:rsidRPr="00C56A30">
              <w:rPr>
                <w:sz w:val="26"/>
                <w:szCs w:val="26"/>
              </w:rPr>
              <w:t> </w:t>
            </w:r>
            <w:proofErr w:type="gramStart"/>
            <w:r w:rsidR="00C56A30"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="00C56A30" w:rsidRPr="00C56A30">
              <w:rPr>
                <w:sz w:val="26"/>
                <w:szCs w:val="26"/>
                <w:lang w:val="ru-RU"/>
              </w:rPr>
              <w:t>ідставами для зняття ВПО з обліку громадян, що потребують житла для тимчасового проживання відповідно до цього Порядку, є:</w:t>
            </w:r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заява ВПО про зняття з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обл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іку;</w:t>
            </w:r>
            <w:bookmarkStart w:id="15" w:name="n88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зміна ВПО місця проживання;</w:t>
            </w:r>
            <w:bookmarkStart w:id="16" w:name="n89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причини, що не дають їй можливості отримати ордер на вселення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житлове приміщення;</w:t>
            </w:r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подання завідомо недостовірних відомостей, що є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ідставою для взяття ВПО на облік громадян, що потребують житла для тимчасового проживання;</w:t>
            </w:r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скасування дії довідки про взяття на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обл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ік ВПО за наявності підстав.</w:t>
            </w:r>
            <w:bookmarkStart w:id="17" w:name="n90"/>
          </w:p>
          <w:p w:rsid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ідставою для скасування дії довідки про взяття на облік ВПО та внесення відомостей про це в Єдину інформаційну базу даних про внутрішньо переміщених осіб є обставини, за яких ВПО:</w:t>
            </w:r>
          </w:p>
          <w:p w:rsidR="005E1D88" w:rsidRPr="00C56A30" w:rsidRDefault="005E1D88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подала заяву про відмову від довідки;</w:t>
            </w:r>
            <w:bookmarkStart w:id="18" w:name="n173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56A30">
              <w:rPr>
                <w:sz w:val="26"/>
                <w:szCs w:val="26"/>
                <w:lang w:val="ru-RU"/>
              </w:rPr>
              <w:t>скоїла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кримінальне правопорушення: дії, спрямовані на насильницьку зміну чи повалення </w:t>
            </w:r>
            <w:r w:rsidRPr="00C56A30">
              <w:rPr>
                <w:sz w:val="26"/>
                <w:szCs w:val="26"/>
                <w:lang w:val="ru-RU"/>
              </w:rPr>
              <w:lastRenderedPageBreak/>
              <w:t xml:space="preserve">конституційного ладу або на захоплення державної влади; посягання на територіальну цілісність і недоторканність України; терористичний акт; втягнення у вчинення терористичного акту; публічні заклики до вчинення терористичного акту; створення терористичної групи чи терористичної організації; сприяння вчиненню терористичного акту; фінансування тероризму; вчинення кримінального правопорушення проти миру, безпеки людства та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іжнародного правопорядку або військового кримінального правопорушення;</w:t>
            </w:r>
            <w:bookmarkStart w:id="19" w:name="n174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повернулася до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покинутого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місця постійного проживання;</w:t>
            </w:r>
            <w:bookmarkStart w:id="20" w:name="n1751"/>
            <w:bookmarkStart w:id="21" w:name="n3801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виїхала на постійне місце проживання за кордон;</w:t>
            </w:r>
            <w:bookmarkStart w:id="22" w:name="n1761"/>
          </w:p>
          <w:p w:rsidR="00C56A30" w:rsidRPr="00C56A30" w:rsidRDefault="00C56A30" w:rsidP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n1771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r w:rsidRPr="00C56A30">
              <w:rPr>
                <w:rFonts w:ascii="Times New Roman" w:hAnsi="Times New Roman" w:cs="Times New Roman"/>
                <w:sz w:val="26"/>
                <w:szCs w:val="26"/>
              </w:rPr>
              <w:t xml:space="preserve">подала </w:t>
            </w:r>
            <w:r w:rsidRPr="00C56A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завідомо </w:t>
            </w:r>
            <w:r w:rsidRPr="00C56A30">
              <w:rPr>
                <w:rFonts w:ascii="Times New Roman" w:hAnsi="Times New Roman" w:cs="Times New Roman"/>
                <w:sz w:val="26"/>
                <w:szCs w:val="26"/>
              </w:rPr>
              <w:t>недостовірні відомості.</w:t>
            </w:r>
            <w:bookmarkEnd w:id="23"/>
          </w:p>
        </w:tc>
      </w:tr>
      <w:tr w:rsidR="00C56A30" w:rsidRPr="00C56A30" w:rsidTr="0025500E">
        <w:tc>
          <w:tcPr>
            <w:tcW w:w="568" w:type="dxa"/>
          </w:tcPr>
          <w:p w:rsidR="00C56A30" w:rsidRPr="00161E03" w:rsidRDefault="00161E03" w:rsidP="00C56A30">
            <w:pPr>
              <w:pStyle w:val="a4"/>
              <w:snapToGri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6.</w:t>
            </w:r>
          </w:p>
        </w:tc>
        <w:tc>
          <w:tcPr>
            <w:tcW w:w="4359" w:type="dxa"/>
          </w:tcPr>
          <w:p w:rsidR="00C56A30" w:rsidRPr="00C56A30" w:rsidRDefault="00C56A30" w:rsidP="00A65735">
            <w:pPr>
              <w:pStyle w:val="1"/>
              <w:snapToGrid w:val="0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3.2.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На підставі абзацу 2 пункту 5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 xml:space="preserve"> 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останови 495 відповідно до положень Договору про грант</w:t>
            </w:r>
            <w:r w:rsidRPr="00C56A30">
              <w:rPr>
                <w:sz w:val="26"/>
                <w:szCs w:val="26"/>
                <w:lang w:val="ru-RU" w:eastAsia="en-US"/>
              </w:rPr>
              <w:t xml:space="preserve">: 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першочергове право на забезпечення житловими приміщеннями з Фонду надається здобувачам вищої освіти, науковим, науково-педагогічним та педагогічним працівникам ДВНЗ «Донецький національний  технічний  університет», його відокремлених структурних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ідрозділів «Бахмутський  індустріальний фаховий коледж» та «Костянтинівський індустріальний  фаховий коледж» та членам їх сімей, які мають статус ВПО; 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у другу чергу право на забезпечення житловими приміщеннями з Фонду надається здобувачам вищої освіти, науковим, науково-педагогічним та педагогічним працівникам Луцького національного технічного університету (ЛНТУ) та членам їх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сімей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, які мають статус ВПО;</w:t>
            </w:r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lastRenderedPageBreak/>
              <w:t xml:space="preserve">у третю чергу житлові приміщення з Фонду надаються іншим ВПО та членам їх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сімей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відповідно до кількості балів, нарахованих </w:t>
            </w:r>
            <w:bookmarkStart w:id="24" w:name="n951"/>
            <w:r w:rsidRPr="00C56A30">
              <w:rPr>
                <w:sz w:val="26"/>
                <w:szCs w:val="26"/>
                <w:lang w:val="ru-RU"/>
              </w:rPr>
              <w:t>за такою бальною системою:</w:t>
            </w:r>
            <w:bookmarkStart w:id="25" w:name="_Ref1316133323"/>
            <w:bookmarkStart w:id="26" w:name="_Ref1316133162"/>
            <w:bookmarkStart w:id="27" w:name="_Ref1316133322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56A30">
              <w:rPr>
                <w:sz w:val="26"/>
                <w:szCs w:val="26"/>
                <w:u w:val="single"/>
                <w:lang w:val="ru-RU"/>
              </w:rPr>
              <w:t>пр</w:t>
            </w:r>
            <w:proofErr w:type="gramEnd"/>
            <w:r w:rsidRPr="00C56A30">
              <w:rPr>
                <w:sz w:val="26"/>
                <w:szCs w:val="26"/>
                <w:u w:val="single"/>
                <w:lang w:val="ru-RU"/>
              </w:rPr>
              <w:t>іоритетні критерії</w:t>
            </w:r>
            <w:r w:rsidRPr="00C56A30">
              <w:rPr>
                <w:sz w:val="26"/>
                <w:szCs w:val="26"/>
                <w:lang w:val="ru-RU"/>
              </w:rPr>
              <w:t xml:space="preserve"> (нараховуються на сім’ю за найвищим показником):</w:t>
            </w:r>
            <w:bookmarkStart w:id="28" w:name="_Ref1316133163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 з трьома і більше дітьми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27 балі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29" w:name="n98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 з двома дітьми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26 балі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30" w:name="n99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 з однією дитиною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25 балі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31" w:name="n100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склад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 яких є вагітні жінки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24 бали;</w:t>
            </w:r>
            <w:bookmarkStart w:id="32" w:name="n101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склад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 яких є особи, які втратили працездатність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23 бали;</w:t>
            </w:r>
            <w:bookmarkStart w:id="33" w:name="n102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склад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 яких є особи пенсійного віку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22 бали;</w:t>
            </w:r>
          </w:p>
          <w:p w:rsidR="00C56A30" w:rsidRPr="00C56A30" w:rsidRDefault="00C56A30" w:rsidP="00A65735">
            <w:pPr>
              <w:pStyle w:val="1"/>
              <w:ind w:left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u w:val="single"/>
                <w:lang w:val="ru-RU"/>
              </w:rPr>
              <w:t>загальні критерії</w:t>
            </w:r>
            <w:r w:rsidRPr="00C56A30">
              <w:rPr>
                <w:sz w:val="26"/>
                <w:szCs w:val="26"/>
                <w:lang w:val="ru-RU"/>
              </w:rPr>
              <w:t xml:space="preserve"> (нараховуються за наявності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ідстав):</w:t>
            </w:r>
            <w:bookmarkStart w:id="34" w:name="n1041"/>
            <w:bookmarkStart w:id="35" w:name="n103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 з дітьми, один із батьків яких загинув (пропав безвісти) під час збройної агрес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ії 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осійської Федерації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3 бали на сім’ю;</w:t>
            </w:r>
            <w:bookmarkStart w:id="36" w:name="n1051"/>
          </w:p>
          <w:p w:rsidR="00C56A30" w:rsidRPr="00C56A30" w:rsidRDefault="00C56A30" w:rsidP="00A65735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 загиблих (померлих) ветеранів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ійни, визначені абзацом першим пункту 1 статті 10, та сім’ї загиблих (померлих) захисників і захисниць України, визначені статтею 10-1 Закону України «Про статус ветеранів війни, гарантії їх соціального захисту», у складі яких є внутрішньо переміщені особи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сім’ю;</w:t>
            </w:r>
            <w:bookmarkStart w:id="37" w:name="n106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ВПО з-поміж осіб, які належать до осіб з інвалідністю внаслідок війни, визначених у пунктах 11-15 частини другої статті 7 Закону України «Про статус ветеранів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ійни, гарантії їх соціального захисту», та члени їх сімей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1 бал на особу;</w:t>
            </w:r>
            <w:bookmarkStart w:id="38" w:name="n107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наявність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склад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 сім’ї дитини, якій надано статус постраждалої внаслідок воєнних дій та збройного конфлікту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кожну дитину;</w:t>
            </w:r>
            <w:bookmarkStart w:id="39" w:name="n108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lastRenderedPageBreak/>
              <w:t>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’ї з дітьми з інвалідністю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3 бали на кожну дитину;</w:t>
            </w:r>
            <w:bookmarkStart w:id="40" w:name="n109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багатодітні сім’ї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41" w:name="n110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неповні сім’ї з дітьми, де мати чи батько виховують їх самостійно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42" w:name="n111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сім’ї, у складі яких є непрацездатні особи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43" w:name="n112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наявність у складі сім’ї осіб, які хворіють на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ідкісні (орфанні) зах</w:t>
            </w:r>
            <w:r w:rsidRPr="00C56A30">
              <w:rPr>
                <w:color w:val="000000"/>
                <w:sz w:val="26"/>
                <w:szCs w:val="26"/>
                <w:lang w:val="ru-RU"/>
              </w:rPr>
              <w:t>ворювання за переліком рідкісних (орфанних) захворювань, що призводять до скорочення тривалості життя хворих або їх інвалідизації, та для яких є визнані метод</w:t>
            </w:r>
            <w:r w:rsidRPr="00C56A30">
              <w:rPr>
                <w:sz w:val="26"/>
                <w:szCs w:val="26"/>
                <w:lang w:val="ru-RU"/>
              </w:rPr>
              <w:t>и лікування, затверджені наказом МОЗ від 27 жовтня 2014 року №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778 «Про затвердження переліку рідкісних (орфанних) захворювань»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44" w:name="n113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особи з інвалідністю </w:t>
            </w:r>
            <w:r w:rsidRPr="00C56A30">
              <w:rPr>
                <w:sz w:val="26"/>
                <w:szCs w:val="26"/>
              </w:rPr>
              <w:t>I</w:t>
            </w:r>
            <w:r w:rsidRPr="00C56A30">
              <w:rPr>
                <w:sz w:val="26"/>
                <w:szCs w:val="26"/>
                <w:lang w:val="ru-RU"/>
              </w:rPr>
              <w:t xml:space="preserve"> й </w:t>
            </w:r>
            <w:r w:rsidRPr="00C56A30">
              <w:rPr>
                <w:sz w:val="26"/>
                <w:szCs w:val="26"/>
              </w:rPr>
              <w:t>II</w:t>
            </w:r>
            <w:r w:rsidRPr="00C56A30">
              <w:rPr>
                <w:sz w:val="26"/>
                <w:szCs w:val="26"/>
                <w:lang w:val="ru-RU"/>
              </w:rPr>
              <w:t xml:space="preserve"> групи з числа внутрішньо переміщених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осіб</w:t>
            </w:r>
            <w:proofErr w:type="gramEnd"/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особу;</w:t>
            </w:r>
            <w:bookmarkStart w:id="45" w:name="n114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сім’ї, у складі яких є особи, які постраждали внаслідок Чорнобильської катастрофи (категорії 1 і 2)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46" w:name="n115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у яких середньомісячний сукупний дохід за попередні шість місяців, розрахований відповідно до Методики обчислення сукупного доходу сім’ї для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вс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іх видів соціальної допомоги, затвердженої наказом Мінсоцполітики, Мінекономрозвитку, Мінфіну, Держстату, Держкоммолодьспорттуризму від 15 листопада 2001 року №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486/202/524/455/3370, менший від прожиткового мінімуму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в розрахунку на місяць та величини регіонального показника опосередкованої вартості наймання житла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3 бали на сім’ю;</w:t>
            </w:r>
            <w:bookmarkStart w:id="47" w:name="n116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особи, нагороджені </w:t>
            </w:r>
            <w:r w:rsidRPr="00C56A30">
              <w:rPr>
                <w:sz w:val="26"/>
                <w:szCs w:val="26"/>
                <w:lang w:val="ru-RU"/>
              </w:rPr>
              <w:lastRenderedPageBreak/>
              <w:t>державними нагородами за безпосередню участь в антитерористичній операції, здійсненні заходів із забезпечення національної безпеки й оборони, відсічі та стримування збройної агрес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ії 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осійської Федерації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1 бал за одну нагороду;</w:t>
            </w:r>
            <w:bookmarkStart w:id="48" w:name="n117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які мають клопотання щодо потреби в забезпеченні житлом для тимчасового проживання від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ідприємства, установи, організації в галузі науки, охорони здоров’я, освіти, культури та фізичної культури й спорту щодо спеціаліста з числа внутрішньо переміщених осіб, який є висококваліфікованим фахівцем у відповідній галузі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49" w:name="n1181"/>
          </w:p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5"/>
          <w:bookmarkEnd w:id="46"/>
          <w:bookmarkEnd w:id="47"/>
          <w:bookmarkEnd w:id="48"/>
          <w:bookmarkEnd w:id="49"/>
          <w:p w:rsidR="00C56A30" w:rsidRPr="00C56A30" w:rsidRDefault="00C56A30" w:rsidP="00A65735">
            <w:pPr>
              <w:snapToGrid w:val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особи, уповноважені на виконання функцій держави або органів </w:t>
            </w:r>
            <w:proofErr w:type="gramStart"/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ісцевого самоврядування з числа внутрішньо переміщених осіб</w:t>
            </w:r>
            <w:r w:rsidRPr="00C56A3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C56A3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бали на особу.</w:t>
            </w:r>
          </w:p>
        </w:tc>
        <w:tc>
          <w:tcPr>
            <w:tcW w:w="426" w:type="dxa"/>
          </w:tcPr>
          <w:p w:rsidR="00C56A30" w:rsidRPr="00C56A30" w:rsidRDefault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C56A30" w:rsidRPr="00C56A30" w:rsidRDefault="00C56A30" w:rsidP="00161E03">
            <w:pPr>
              <w:pStyle w:val="1"/>
              <w:snapToGrid w:val="0"/>
              <w:ind w:left="0" w:firstLine="459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3.2.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На підставі абзацу 2 пункту 5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 xml:space="preserve"> 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останови 495 відповідно до положень Договору про грант</w:t>
            </w:r>
            <w:r w:rsidRPr="00C56A30">
              <w:rPr>
                <w:sz w:val="26"/>
                <w:szCs w:val="26"/>
                <w:lang w:val="ru-RU" w:eastAsia="en-US"/>
              </w:rPr>
              <w:t xml:space="preserve">: </w:t>
            </w:r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першочергове право на забезпечення житловими приміщеннями з Фонду надається здобувачам вищої освіти, науковим, науково-педагогічним та педагогічним працівникам ДВНЗ «Донецький національний  технічний  університет», його відокремлених структурних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ідрозділів «Бахмутський індустріальний фаховий коледж» та «Костянтинівський індустріальний фаховий коледж» та членам їх сімей, які мають статус ВПО; </w:t>
            </w:r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у другу чергу право на забезпечення житловими приміщеннями з Фонду надається здобувачам вищої освіти, науковим, науково-педагогічним та педагогічним працівникам Луцького національного технічного університету (ЛНТУ) та членам їх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сімей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, які мають статус ВПО;</w:t>
            </w:r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lastRenderedPageBreak/>
              <w:t xml:space="preserve">у третю чергу житлові приміщення з Фонду надаються іншим ВПО та членам їх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сімей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відповідно до кількості балів, нарахованих </w:t>
            </w:r>
            <w:bookmarkStart w:id="50" w:name="n95"/>
            <w:r w:rsidRPr="00C56A30">
              <w:rPr>
                <w:sz w:val="26"/>
                <w:szCs w:val="26"/>
                <w:lang w:val="ru-RU"/>
              </w:rPr>
              <w:t>за такою бальною системою:</w:t>
            </w:r>
            <w:bookmarkStart w:id="51" w:name="_Ref1316133321"/>
            <w:bookmarkStart w:id="52" w:name="_Ref131613316"/>
            <w:bookmarkStart w:id="53" w:name="_Ref131613332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C56A30">
              <w:rPr>
                <w:sz w:val="26"/>
                <w:szCs w:val="26"/>
                <w:u w:val="single"/>
                <w:lang w:val="ru-RU"/>
              </w:rPr>
              <w:t>пр</w:t>
            </w:r>
            <w:proofErr w:type="gramEnd"/>
            <w:r w:rsidRPr="00C56A30">
              <w:rPr>
                <w:sz w:val="26"/>
                <w:szCs w:val="26"/>
                <w:u w:val="single"/>
                <w:lang w:val="ru-RU"/>
              </w:rPr>
              <w:t>іоритетні критерії</w:t>
            </w:r>
            <w:r w:rsidRPr="00C56A30">
              <w:rPr>
                <w:sz w:val="26"/>
                <w:szCs w:val="26"/>
                <w:lang w:val="ru-RU"/>
              </w:rPr>
              <w:t xml:space="preserve"> (нараховуються на сім’ю/</w:t>
            </w:r>
            <w:r w:rsidRPr="00C56A30">
              <w:rPr>
                <w:b/>
                <w:bCs/>
                <w:sz w:val="26"/>
                <w:szCs w:val="26"/>
                <w:lang w:val="ru-RU"/>
              </w:rPr>
              <w:t>внутрішньо переміщену особу</w:t>
            </w:r>
            <w:r w:rsidRPr="00C56A30">
              <w:rPr>
                <w:sz w:val="26"/>
                <w:szCs w:val="26"/>
                <w:lang w:val="ru-RU"/>
              </w:rPr>
              <w:t xml:space="preserve"> за найвищим показником):</w:t>
            </w:r>
            <w:bookmarkStart w:id="54" w:name="_Ref1316133161"/>
          </w:p>
          <w:p w:rsidR="00C56A30" w:rsidRPr="00C56A30" w:rsidRDefault="00C56A30" w:rsidP="00C56A3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C56A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сім’ї військовослужбовців з числа внутрішньо переміщених осіб, які беруть/брали участь у бойових діях або забезпечують/забезпечували здійснення заходів з національної безпеки і оборони, відсічі і стримування збройної агресії, перебуваючи безпосередньо в районах ведення бойових дій у період здійснення зазначених заходів, - 50 балів;</w:t>
            </w:r>
            <w:proofErr w:type="gramEnd"/>
          </w:p>
          <w:p w:rsidR="00C56A30" w:rsidRPr="00C56A30" w:rsidRDefault="00C56A30" w:rsidP="00C56A3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6A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внутрішньо переміщені особи, які зазнали повторного внутрішнього переміщення через повномасштабну збройну агресію</w:t>
            </w:r>
            <w:proofErr w:type="gramStart"/>
            <w:r w:rsidRPr="00C56A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Р</w:t>
            </w:r>
            <w:proofErr w:type="gramEnd"/>
            <w:r w:rsidRPr="00C56A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осійської Федерації, - 27 балів;</w:t>
            </w:r>
            <w:bookmarkStart w:id="55" w:name="n26"/>
          </w:p>
          <w:p w:rsidR="00C56A30" w:rsidRPr="00C56A30" w:rsidRDefault="00C56A30" w:rsidP="00C56A30">
            <w:pPr>
              <w:shd w:val="clear" w:color="auto" w:fill="FFFFFF"/>
              <w:ind w:firstLine="448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56A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внутрішньо переміщені особи з числа мешканців територіальної громади, яка здійснює забезпечення житловими приміщеннями з фонду, житло яких було зруйноване або стало непридатним для проживання внаслідок збройної агрес</w:t>
            </w:r>
            <w:proofErr w:type="gramStart"/>
            <w:r w:rsidRPr="00C56A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ії Р</w:t>
            </w:r>
            <w:proofErr w:type="gramEnd"/>
            <w:r w:rsidRPr="00C56A3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осійської Федерації, - 27 балів;</w:t>
            </w:r>
            <w:bookmarkStart w:id="56" w:name="n27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 з трьома і більше дітьми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27 балі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57" w:name="n98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 з двома дітьми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26 балі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58" w:name="n99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 з однією дитиною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25 балі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59" w:name="n100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склад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і яких є вагітні жінки </w:t>
            </w:r>
            <w:r w:rsidRPr="00C56A30">
              <w:rPr>
                <w:b/>
                <w:bCs/>
                <w:sz w:val="26"/>
                <w:szCs w:val="26"/>
                <w:lang w:val="ru-RU"/>
              </w:rPr>
              <w:t>/одинокі вагітні жінки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24 бали;</w:t>
            </w:r>
            <w:bookmarkStart w:id="60" w:name="n101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склад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 яких є особи, які втратили працездатність</w:t>
            </w:r>
            <w:r w:rsidRPr="00C56A30">
              <w:rPr>
                <w:b/>
                <w:bCs/>
                <w:sz w:val="26"/>
                <w:szCs w:val="26"/>
                <w:lang w:val="ru-RU"/>
              </w:rPr>
              <w:t>/одинокі особи, які втратили працездатність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23 бали;</w:t>
            </w:r>
            <w:bookmarkStart w:id="61" w:name="n102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склад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 яких є особи пенсійного віку</w:t>
            </w:r>
            <w:r w:rsidRPr="00C56A30">
              <w:rPr>
                <w:b/>
                <w:bCs/>
                <w:sz w:val="26"/>
                <w:szCs w:val="26"/>
                <w:lang w:val="ru-RU"/>
              </w:rPr>
              <w:t xml:space="preserve">/одинокі особи </w:t>
            </w:r>
            <w:r w:rsidRPr="00C56A30">
              <w:rPr>
                <w:b/>
                <w:bCs/>
                <w:sz w:val="26"/>
                <w:szCs w:val="26"/>
                <w:lang w:val="ru-RU"/>
              </w:rPr>
              <w:lastRenderedPageBreak/>
              <w:t>пенсійного віку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22 бали;</w:t>
            </w:r>
          </w:p>
          <w:p w:rsidR="00C56A30" w:rsidRPr="00C56A30" w:rsidRDefault="00C56A30" w:rsidP="00C56A30">
            <w:pPr>
              <w:pStyle w:val="1"/>
              <w:ind w:left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u w:val="single"/>
                <w:lang w:val="ru-RU"/>
              </w:rPr>
              <w:t>загальні критерії</w:t>
            </w:r>
            <w:r w:rsidRPr="00C56A30">
              <w:rPr>
                <w:sz w:val="26"/>
                <w:szCs w:val="26"/>
                <w:lang w:val="ru-RU"/>
              </w:rPr>
              <w:t xml:space="preserve"> (нараховуються за наявності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ідстав):</w:t>
            </w:r>
            <w:bookmarkStart w:id="62" w:name="n104"/>
            <w:bookmarkStart w:id="63" w:name="n103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 з дітьми, один із батьків яких загинув (пропав безвісти) під час збройної агрес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ії 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осійської Федерації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3 бали на сім’ю;</w:t>
            </w:r>
            <w:bookmarkStart w:id="64" w:name="n105"/>
          </w:p>
          <w:p w:rsidR="00C56A30" w:rsidRPr="00C56A30" w:rsidRDefault="00C56A30" w:rsidP="00C56A30">
            <w:pPr>
              <w:pStyle w:val="1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 загиблих (померлих) ветеранів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ійни, визначені абзацом першим пункту 1 статті 10, та сім’ї загиблих (померлих) захисників і захисниць України, визначені статтею 10-1 Закону України «Про статус ветеранів війни, гарантії їх соціального захисту», у складі яких є внутрішньо переміщені особи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сім’ю;</w:t>
            </w:r>
            <w:bookmarkStart w:id="65" w:name="n106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ВПО з-поміж осіб, які належать до осіб з інвалідністю внаслідок війни, визначених у пунктах 11-15 частини другої статті 7 Закону України «Про статус ветеранів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ійни, гарантії їх соціального захисту», та члени їх сімей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1 бал на особу;</w:t>
            </w:r>
            <w:bookmarkStart w:id="66" w:name="n107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наявність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у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склад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 сім’ї дитини, якій надано статус постраждалої внаслідок воєнних дій та збройного конфлікту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кожну дитину;</w:t>
            </w:r>
            <w:bookmarkStart w:id="67" w:name="n108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’ї з дітьми з інвалідністю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3 бали на кожну дитину;</w:t>
            </w:r>
            <w:bookmarkStart w:id="68" w:name="n109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багатодітні сім’ї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69" w:name="n110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неповні сім’ї з дітьми, де мати чи батько виховують їх самостійно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70" w:name="n111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сім’ї, у складі яких є непрацездатні особи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71" w:name="n112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наявність у складі сім’ї осіб, які хворіють на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ідкісні (орфанні) зах</w:t>
            </w:r>
            <w:r w:rsidRPr="00C56A30">
              <w:rPr>
                <w:color w:val="000000"/>
                <w:sz w:val="26"/>
                <w:szCs w:val="26"/>
                <w:lang w:val="ru-RU"/>
              </w:rPr>
              <w:t>ворювання за переліком рідкісних (орфанних) захворювань, що призводять до скорочення тривалості життя хворих або їх інвалідизації, та для яких є визнані метод</w:t>
            </w:r>
            <w:r w:rsidRPr="00C56A30">
              <w:rPr>
                <w:sz w:val="26"/>
                <w:szCs w:val="26"/>
                <w:lang w:val="ru-RU"/>
              </w:rPr>
              <w:t>и лікування, затверджені наказом МОЗ від 27 жовтня 2014 року №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 xml:space="preserve">778 «Про затвердження переліку рідкісних </w:t>
            </w:r>
            <w:r w:rsidRPr="00C56A30">
              <w:rPr>
                <w:sz w:val="26"/>
                <w:szCs w:val="26"/>
                <w:lang w:val="ru-RU"/>
              </w:rPr>
              <w:lastRenderedPageBreak/>
              <w:t>(орфанних) захворювань»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72" w:name="n113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особи з інвалідністю </w:t>
            </w:r>
            <w:r w:rsidRPr="00C56A30">
              <w:rPr>
                <w:sz w:val="26"/>
                <w:szCs w:val="26"/>
              </w:rPr>
              <w:t>I</w:t>
            </w:r>
            <w:r w:rsidRPr="00C56A30">
              <w:rPr>
                <w:sz w:val="26"/>
                <w:szCs w:val="26"/>
                <w:lang w:val="ru-RU"/>
              </w:rPr>
              <w:t xml:space="preserve"> й </w:t>
            </w:r>
            <w:r w:rsidRPr="00C56A30">
              <w:rPr>
                <w:sz w:val="26"/>
                <w:szCs w:val="26"/>
              </w:rPr>
              <w:t>II</w:t>
            </w:r>
            <w:r w:rsidRPr="00C56A30">
              <w:rPr>
                <w:sz w:val="26"/>
                <w:szCs w:val="26"/>
                <w:lang w:val="ru-RU"/>
              </w:rPr>
              <w:t xml:space="preserve"> групи з числа внутрішньо переміщених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осіб</w:t>
            </w:r>
            <w:proofErr w:type="gramEnd"/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особу;</w:t>
            </w:r>
            <w:bookmarkStart w:id="73" w:name="n114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сім’ї, у складі яких є особи, які постраждали внаслідок Чорнобильської катастрофи (категорії 1 і 2)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74" w:name="n115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у яких середньомісячний сукупний дохід за попередні шість місяців, розрахований </w:t>
            </w:r>
            <w:r w:rsidRPr="00C56A30">
              <w:rPr>
                <w:b/>
                <w:bCs/>
                <w:sz w:val="26"/>
                <w:szCs w:val="26"/>
                <w:lang w:val="ru-RU"/>
              </w:rPr>
              <w:t xml:space="preserve">уповноваженим органом відповідно до Порядку обчислення середньомісячного сукупного доходу сім’ї (домогосподарства) для усіх видів державної </w:t>
            </w:r>
            <w:proofErr w:type="gramStart"/>
            <w:r w:rsidRPr="00C56A30">
              <w:rPr>
                <w:b/>
                <w:bCs/>
                <w:sz w:val="26"/>
                <w:szCs w:val="26"/>
                <w:lang w:val="ru-RU"/>
              </w:rPr>
              <w:t>соц</w:t>
            </w:r>
            <w:proofErr w:type="gramEnd"/>
            <w:r w:rsidRPr="00C56A30">
              <w:rPr>
                <w:b/>
                <w:bCs/>
                <w:sz w:val="26"/>
                <w:szCs w:val="26"/>
                <w:lang w:val="ru-RU"/>
              </w:rPr>
              <w:t xml:space="preserve">іальної допомоги, затвердженого постановою Кабінету Міністрів України від 22 липня 2020 р. № 632 “Деякі питання виплати державної </w:t>
            </w:r>
            <w:proofErr w:type="gramStart"/>
            <w:r w:rsidRPr="00C56A30">
              <w:rPr>
                <w:b/>
                <w:bCs/>
                <w:sz w:val="26"/>
                <w:szCs w:val="26"/>
                <w:lang w:val="ru-RU"/>
              </w:rPr>
              <w:t>соц</w:t>
            </w:r>
            <w:proofErr w:type="gramEnd"/>
            <w:r w:rsidRPr="00C56A30">
              <w:rPr>
                <w:b/>
                <w:bCs/>
                <w:sz w:val="26"/>
                <w:szCs w:val="26"/>
                <w:lang w:val="ru-RU"/>
              </w:rPr>
              <w:t>іальної допомоги” (Офіційний вісник України, 2020 р., № 61, ст. 1981)</w:t>
            </w:r>
            <w:r w:rsidRPr="00C56A30">
              <w:rPr>
                <w:sz w:val="26"/>
                <w:szCs w:val="26"/>
                <w:lang w:val="ru-RU"/>
              </w:rPr>
              <w:t>, менший від прожиткового мінімуму на сім’ю в розрахунку на місяць та величини регіонального показника опосередкованої вартості наймання житла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3 бали на сім’ю;</w:t>
            </w:r>
            <w:bookmarkStart w:id="75" w:name="n116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особи, нагороджені державними нагородами за безпосередню участь в антитерористичній операції, здійсненні заходів із забезпечення національної безпеки й оборони, відсічі та стримування збройної агрес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ії 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осійської Федерації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1 бал за одну нагороду;</w:t>
            </w:r>
            <w:bookmarkStart w:id="76" w:name="n117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сім’ї, які мають клопотання щодо потреби в забезпеченні житлом для тимчасового проживання від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ідприємства, установи, організації в галузі науки, охорони здоров’я, освіти, культури та фізичної культури й спорту щодо спеціаліста з числа внутрішньо переміщених осіб, який є висококваліфікованим фахівцем у відповідній галузі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–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2 бали на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м’ю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;</w:t>
            </w:r>
            <w:bookmarkStart w:id="77" w:name="n118"/>
          </w:p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p w:rsidR="00C56A30" w:rsidRPr="00C56A30" w:rsidRDefault="00C56A30" w:rsidP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особи, уповноважені на виконання функцій держави або органів </w:t>
            </w:r>
            <w:proofErr w:type="gramStart"/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м</w:t>
            </w:r>
            <w:proofErr w:type="gramEnd"/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ісцевого самоврядування з числа внутрішньо переміщених осіб</w:t>
            </w:r>
            <w:r w:rsidRPr="00C56A3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C56A3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56A3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 бали на особу.</w:t>
            </w:r>
          </w:p>
        </w:tc>
      </w:tr>
      <w:tr w:rsidR="00C56A30" w:rsidRPr="00C56A30" w:rsidTr="0025500E">
        <w:tc>
          <w:tcPr>
            <w:tcW w:w="568" w:type="dxa"/>
          </w:tcPr>
          <w:p w:rsidR="00C56A30" w:rsidRPr="00C56A30" w:rsidRDefault="00161E03" w:rsidP="00C56A30">
            <w:pPr>
              <w:pStyle w:val="a4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7.</w:t>
            </w:r>
          </w:p>
        </w:tc>
        <w:tc>
          <w:tcPr>
            <w:tcW w:w="4359" w:type="dxa"/>
          </w:tcPr>
          <w:p w:rsidR="00C56A30" w:rsidRPr="00C56A30" w:rsidRDefault="00C56A30" w:rsidP="00A65735">
            <w:pPr>
              <w:pStyle w:val="1"/>
              <w:snapToGrid w:val="0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bCs/>
                <w:sz w:val="26"/>
                <w:szCs w:val="26"/>
                <w:lang w:val="ru-RU"/>
              </w:rPr>
              <w:t>5.</w:t>
            </w:r>
            <w:r w:rsidRPr="00C56A30">
              <w:rPr>
                <w:sz w:val="26"/>
                <w:szCs w:val="26"/>
                <w:lang w:val="ru-RU"/>
              </w:rPr>
              <w:t>2.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Догові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користування може бути припинений достроково.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ідставами для прийняття ЛНТУ рішення про дострокове припинення Договору користування є:</w:t>
            </w:r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отримання ВПО в користування або придбання нею іншого житла (житлового приміщення);</w:t>
            </w:r>
            <w:bookmarkStart w:id="78" w:name="n146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скасування дії довідки про взяття на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обл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ік ВПО;</w:t>
            </w:r>
            <w:bookmarkStart w:id="79" w:name="n147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подання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св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ідомо неправдивих відомостей, що стали підставою для надання ВПО житлового приміщення з Фонду;</w:t>
            </w:r>
            <w:bookmarkStart w:id="80" w:name="n148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систематичне порушення ВПО та/або членами її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’ї правил користування житловим приміщенням з Фонду;</w:t>
            </w:r>
            <w:bookmarkStart w:id="81" w:name="n149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приведення ВПО та/або членами її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’ї житлового приміщення з Фонду в непридатний для користування стан;</w:t>
            </w:r>
            <w:bookmarkStart w:id="82" w:name="n150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порушення умов Договору користування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ісля застосування до ВПО заходу впливу, передбаченого пунктом 5.3. цього Порядку;</w:t>
            </w:r>
            <w:bookmarkStart w:id="83" w:name="n151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не проживання ВПО в житловому приміщенні безперервно більш ніж половина строку, на який укладено Догові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користування;</w:t>
            </w:r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зміна обставин непереборної сили, які унеможливлюють повернення ВПО до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ісця свого постійного проживання;</w:t>
            </w:r>
            <w:bookmarkStart w:id="84" w:name="n1531"/>
          </w:p>
          <w:p w:rsidR="00C56A30" w:rsidRPr="00C56A30" w:rsidRDefault="00C56A30" w:rsidP="00A65735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</w:rPr>
            </w:pPr>
            <w:proofErr w:type="gramStart"/>
            <w:r w:rsidRPr="00C56A30">
              <w:rPr>
                <w:sz w:val="26"/>
                <w:szCs w:val="26"/>
              </w:rPr>
              <w:t>інші</w:t>
            </w:r>
            <w:proofErr w:type="gramEnd"/>
            <w:r w:rsidRPr="00C56A30">
              <w:rPr>
                <w:sz w:val="26"/>
                <w:szCs w:val="26"/>
              </w:rPr>
              <w:t xml:space="preserve"> підстави, встановлені законом.</w:t>
            </w:r>
            <w:bookmarkStart w:id="85" w:name="n1551"/>
            <w:bookmarkStart w:id="86" w:name="n1541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</w:p>
        </w:tc>
        <w:tc>
          <w:tcPr>
            <w:tcW w:w="426" w:type="dxa"/>
          </w:tcPr>
          <w:p w:rsidR="00C56A30" w:rsidRPr="00C56A30" w:rsidRDefault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C56A30" w:rsidRPr="00C56A30" w:rsidRDefault="00C56A30" w:rsidP="00C56A30">
            <w:pPr>
              <w:pStyle w:val="1"/>
              <w:snapToGrid w:val="0"/>
              <w:ind w:left="0"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bCs/>
                <w:sz w:val="26"/>
                <w:szCs w:val="26"/>
                <w:lang w:val="ru-RU"/>
              </w:rPr>
              <w:t>5.</w:t>
            </w:r>
            <w:r w:rsidRPr="00C56A30">
              <w:rPr>
                <w:sz w:val="26"/>
                <w:szCs w:val="26"/>
                <w:lang w:val="ru-RU"/>
              </w:rPr>
              <w:t>2.</w:t>
            </w:r>
            <w:r w:rsidRPr="00C56A30">
              <w:rPr>
                <w:sz w:val="26"/>
                <w:szCs w:val="26"/>
              </w:rPr>
              <w:t> </w:t>
            </w:r>
            <w:r w:rsidRPr="00C56A30">
              <w:rPr>
                <w:sz w:val="26"/>
                <w:szCs w:val="26"/>
                <w:lang w:val="ru-RU"/>
              </w:rPr>
              <w:t>Догові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користування може бути припинений достроково.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ідставами для прийняття ЛНТУ рішення про дострокове припинення Договору користування є:</w:t>
            </w:r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отримання ВПО в користування або придбання нею іншого житла (житлового приміщення);</w:t>
            </w:r>
            <w:bookmarkStart w:id="87" w:name="n146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скасування дії довідки про взяття на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обл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ік ВПО;</w:t>
            </w:r>
            <w:bookmarkStart w:id="88" w:name="n147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подання </w:t>
            </w:r>
            <w:r w:rsidRPr="00C56A30">
              <w:rPr>
                <w:b/>
                <w:bCs/>
                <w:sz w:val="26"/>
                <w:szCs w:val="26"/>
                <w:lang w:val="ru-RU"/>
              </w:rPr>
              <w:t>завідомо недостовірних</w:t>
            </w:r>
            <w:r w:rsidRPr="00C56A30">
              <w:rPr>
                <w:sz w:val="26"/>
                <w:szCs w:val="26"/>
                <w:lang w:val="ru-RU"/>
              </w:rPr>
              <w:t xml:space="preserve"> відомостей, що стали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ідставою для надання ВПО житлового приміщення з Фонду;</w:t>
            </w:r>
            <w:bookmarkStart w:id="89" w:name="n148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систематичне порушення ВПО та/або членами її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’ї правил користування житловим приміщенням з Фонду;</w:t>
            </w:r>
            <w:bookmarkStart w:id="90" w:name="n149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приведення ВПО та/або членами її сі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’ї житлового приміщення з Фонду в непридатний для користування стан;</w:t>
            </w:r>
            <w:bookmarkStart w:id="91" w:name="n150"/>
          </w:p>
          <w:p w:rsid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порушення умов Договору користування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ісля застосування до ВПО заходу впливу, передбаченого пунктом 5.3. цього Порядку;</w:t>
            </w:r>
            <w:bookmarkStart w:id="92" w:name="n151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>не проживання ВПО в житловому приміщенні безперервно більш ніж половина строку, на який укладено Догові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 xml:space="preserve"> користування;</w:t>
            </w:r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C56A30">
              <w:rPr>
                <w:sz w:val="26"/>
                <w:szCs w:val="26"/>
                <w:lang w:val="ru-RU"/>
              </w:rPr>
              <w:t xml:space="preserve">зміна обставин непереборної сили, які унеможливлюють повернення ВПО до </w:t>
            </w:r>
            <w:proofErr w:type="gramStart"/>
            <w:r w:rsidRPr="00C56A30">
              <w:rPr>
                <w:sz w:val="26"/>
                <w:szCs w:val="26"/>
                <w:lang w:val="ru-RU"/>
              </w:rPr>
              <w:t>м</w:t>
            </w:r>
            <w:proofErr w:type="gramEnd"/>
            <w:r w:rsidRPr="00C56A30">
              <w:rPr>
                <w:sz w:val="26"/>
                <w:szCs w:val="26"/>
                <w:lang w:val="ru-RU"/>
              </w:rPr>
              <w:t>ісця свого постійного проживання;</w:t>
            </w:r>
            <w:bookmarkStart w:id="93" w:name="n153"/>
          </w:p>
          <w:p w:rsidR="00C56A30" w:rsidRPr="00C56A30" w:rsidRDefault="00C56A30" w:rsidP="00C56A30">
            <w:pPr>
              <w:pStyle w:val="rvps2"/>
              <w:shd w:val="clear" w:color="auto" w:fill="FFFFFF"/>
              <w:ind w:firstLine="567"/>
              <w:jc w:val="both"/>
              <w:rPr>
                <w:sz w:val="26"/>
                <w:szCs w:val="26"/>
              </w:rPr>
            </w:pPr>
            <w:proofErr w:type="gramStart"/>
            <w:r w:rsidRPr="00C56A30">
              <w:rPr>
                <w:sz w:val="26"/>
                <w:szCs w:val="26"/>
              </w:rPr>
              <w:t>інші</w:t>
            </w:r>
            <w:proofErr w:type="gramEnd"/>
            <w:r w:rsidRPr="00C56A30">
              <w:rPr>
                <w:sz w:val="26"/>
                <w:szCs w:val="26"/>
              </w:rPr>
              <w:t xml:space="preserve"> підстави, встановлені законом.</w:t>
            </w:r>
            <w:bookmarkStart w:id="94" w:name="n155"/>
            <w:bookmarkStart w:id="95" w:name="n154"/>
          </w:p>
          <w:bookmarkEnd w:id="87"/>
          <w:bookmarkEnd w:id="88"/>
          <w:bookmarkEnd w:id="89"/>
          <w:bookmarkEnd w:id="90"/>
          <w:bookmarkEnd w:id="91"/>
          <w:bookmarkEnd w:id="92"/>
          <w:bookmarkEnd w:id="93"/>
          <w:bookmarkEnd w:id="94"/>
          <w:bookmarkEnd w:id="95"/>
          <w:p w:rsidR="00C56A30" w:rsidRPr="00C56A30" w:rsidRDefault="00C56A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53B8" w:rsidRPr="00C56A30" w:rsidRDefault="009A53B8">
      <w:pPr>
        <w:rPr>
          <w:rFonts w:ascii="Times New Roman" w:hAnsi="Times New Roman" w:cs="Times New Roman"/>
          <w:sz w:val="28"/>
          <w:szCs w:val="28"/>
        </w:rPr>
      </w:pPr>
    </w:p>
    <w:sectPr w:rsidR="009A53B8" w:rsidRPr="00C56A30" w:rsidSect="00A25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>
    <w:useFELayout/>
  </w:compat>
  <w:rsids>
    <w:rsidRoot w:val="00C56A30"/>
    <w:rsid w:val="00161E03"/>
    <w:rsid w:val="0025500E"/>
    <w:rsid w:val="00424B2E"/>
    <w:rsid w:val="005004EF"/>
    <w:rsid w:val="005E1D88"/>
    <w:rsid w:val="009042A8"/>
    <w:rsid w:val="009A53B8"/>
    <w:rsid w:val="00A258E7"/>
    <w:rsid w:val="00C5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Вміст таблиці"/>
    <w:basedOn w:val="a"/>
    <w:rsid w:val="00C56A3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1">
    <w:name w:val="Абзац списка1"/>
    <w:basedOn w:val="a"/>
    <w:rsid w:val="00C56A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customStyle="1" w:styleId="rvps2">
    <w:name w:val="rvps2"/>
    <w:basedOn w:val="a"/>
    <w:rsid w:val="00C56A3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val="en-US" w:bidi="hi-IN"/>
    </w:rPr>
  </w:style>
  <w:style w:type="paragraph" w:customStyle="1" w:styleId="ListParagraph">
    <w:name w:val="List Paragraph"/>
    <w:basedOn w:val="a"/>
    <w:rsid w:val="00161E0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6DE0-BD06-4324-A41C-26967D4C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12464</Words>
  <Characters>7106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fedorchuk</dc:creator>
  <cp:keywords/>
  <dc:description/>
  <cp:lastModifiedBy>fedorchuk</cp:lastModifiedBy>
  <cp:revision>6</cp:revision>
  <cp:lastPrinted>2024-04-17T07:40:00Z</cp:lastPrinted>
  <dcterms:created xsi:type="dcterms:W3CDTF">2024-04-05T09:13:00Z</dcterms:created>
  <dcterms:modified xsi:type="dcterms:W3CDTF">2024-04-17T07:42:00Z</dcterms:modified>
</cp:coreProperties>
</file>