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90B86" w:rsidTr="00790B8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25" w:type="dxa"/>
              <w:tblLook w:val="01E0" w:firstRow="1" w:lastRow="1" w:firstColumn="1" w:lastColumn="1" w:noHBand="0" w:noVBand="0"/>
            </w:tblPr>
            <w:tblGrid>
              <w:gridCol w:w="1911"/>
              <w:gridCol w:w="7414"/>
            </w:tblGrid>
            <w:tr w:rsidR="00790B86" w:rsidRPr="00BA2EAC" w:rsidTr="00790B86">
              <w:tc>
                <w:tcPr>
                  <w:tcW w:w="1910" w:type="dxa"/>
                  <w:tcBorders>
                    <w:top w:val="nil"/>
                  </w:tcBorders>
                  <w:vAlign w:val="center"/>
                </w:tcPr>
                <w:p w:rsidR="00790B86" w:rsidRPr="00BA2EAC" w:rsidRDefault="00D455C6" w:rsidP="003607A0">
                  <w:pPr>
                    <w:jc w:val="center"/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076325" cy="1076325"/>
                        <wp:effectExtent l="0" t="0" r="0" b="0"/>
                        <wp:docPr id="1" name="Рисунок 1" descr="ембле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ембле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15" w:type="dxa"/>
                  <w:tcBorders>
                    <w:top w:val="nil"/>
                  </w:tcBorders>
                </w:tcPr>
                <w:p w:rsidR="00790B86" w:rsidRPr="00780352" w:rsidRDefault="00790B86" w:rsidP="00790B86">
                  <w:pPr>
                    <w:shd w:val="clear" w:color="auto" w:fill="FFFFFF"/>
                    <w:ind w:left="5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80352">
                    <w:rPr>
                      <w:b/>
                      <w:bCs/>
                      <w:color w:val="000000"/>
                      <w:spacing w:val="-7"/>
                      <w:sz w:val="26"/>
                      <w:szCs w:val="26"/>
                    </w:rPr>
                    <w:t>ЛУЦЬКА МІСЬКА РАДА</w:t>
                  </w:r>
                </w:p>
                <w:p w:rsidR="00790B86" w:rsidRPr="006346AA" w:rsidRDefault="00790B86" w:rsidP="00790B86">
                  <w:pPr>
                    <w:jc w:val="center"/>
                    <w:rPr>
                      <w:b/>
                      <w:spacing w:val="-6"/>
                      <w:sz w:val="40"/>
                      <w:szCs w:val="40"/>
                    </w:rPr>
                  </w:pPr>
                  <w:r w:rsidRPr="006346AA">
                    <w:rPr>
                      <w:b/>
                      <w:sz w:val="40"/>
                      <w:szCs w:val="40"/>
                    </w:rPr>
                    <w:t xml:space="preserve">Державне комунальне підприємство </w:t>
                  </w:r>
                  <w:r w:rsidRPr="006346AA">
                    <w:rPr>
                      <w:b/>
                      <w:spacing w:val="-6"/>
                      <w:sz w:val="40"/>
                      <w:szCs w:val="40"/>
                    </w:rPr>
                    <w:t>«</w:t>
                  </w:r>
                  <w:proofErr w:type="spellStart"/>
                  <w:r w:rsidRPr="006346AA">
                    <w:rPr>
                      <w:b/>
                      <w:spacing w:val="-6"/>
                      <w:sz w:val="40"/>
                      <w:szCs w:val="40"/>
                    </w:rPr>
                    <w:t>Луцьктепло</w:t>
                  </w:r>
                  <w:proofErr w:type="spellEnd"/>
                  <w:r w:rsidRPr="006346AA">
                    <w:rPr>
                      <w:b/>
                      <w:spacing w:val="-6"/>
                      <w:sz w:val="40"/>
                      <w:szCs w:val="40"/>
                    </w:rPr>
                    <w:t>»</w:t>
                  </w:r>
                </w:p>
                <w:p w:rsidR="00790B86" w:rsidRPr="00BA2EAC" w:rsidRDefault="00790B86" w:rsidP="00FF0E17">
                  <w:pPr>
                    <w:jc w:val="center"/>
                  </w:pPr>
                </w:p>
              </w:tc>
            </w:tr>
          </w:tbl>
          <w:p w:rsidR="00790B86" w:rsidRDefault="00790B86" w:rsidP="00790B86"/>
        </w:tc>
      </w:tr>
    </w:tbl>
    <w:p w:rsidR="00790B86" w:rsidRDefault="00790B86" w:rsidP="00790B86"/>
    <w:p w:rsidR="00FF0E17" w:rsidRDefault="00FF0E17" w:rsidP="00FF0E17">
      <w:pPr>
        <w:shd w:val="clear" w:color="auto" w:fill="FFFFFF"/>
        <w:ind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Фактори ризику, що можуть вплинути на операції та результати діяльності підприємства :</w:t>
      </w:r>
    </w:p>
    <w:p w:rsidR="00FF0E17" w:rsidRPr="001E728A" w:rsidRDefault="00FF0E17" w:rsidP="00FF0E17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1E728A">
        <w:rPr>
          <w:rFonts w:ascii="Times New Roman" w:hAnsi="Times New Roman"/>
          <w:sz w:val="28"/>
          <w:szCs w:val="28"/>
        </w:rPr>
        <w:t xml:space="preserve">значне зменшення обсягу </w:t>
      </w:r>
      <w:r>
        <w:rPr>
          <w:rFonts w:ascii="Times New Roman" w:hAnsi="Times New Roman"/>
          <w:sz w:val="28"/>
          <w:szCs w:val="28"/>
        </w:rPr>
        <w:t>реалізованих послуг постачання теплової енергії та постачання гарячої води споживачам</w:t>
      </w:r>
      <w:r w:rsidRPr="001E72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який впливають</w:t>
      </w:r>
      <w:r w:rsidRPr="001E728A">
        <w:rPr>
          <w:rFonts w:ascii="Times New Roman" w:hAnsi="Times New Roman"/>
          <w:sz w:val="28"/>
          <w:szCs w:val="28"/>
        </w:rPr>
        <w:t xml:space="preserve"> погодні умови (зменшення тривалості опалювального періоду</w:t>
      </w:r>
      <w:r>
        <w:rPr>
          <w:rFonts w:ascii="Times New Roman" w:hAnsi="Times New Roman"/>
          <w:sz w:val="28"/>
          <w:szCs w:val="28"/>
        </w:rPr>
        <w:t xml:space="preserve">, збільшення температури зовнішнього повітря в опалювальний період і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E728A">
        <w:rPr>
          <w:rFonts w:ascii="Times New Roman" w:hAnsi="Times New Roman"/>
          <w:sz w:val="28"/>
          <w:szCs w:val="28"/>
        </w:rPr>
        <w:t xml:space="preserve">), що </w:t>
      </w:r>
      <w:r>
        <w:rPr>
          <w:rFonts w:ascii="Times New Roman" w:hAnsi="Times New Roman"/>
          <w:sz w:val="28"/>
          <w:szCs w:val="28"/>
        </w:rPr>
        <w:t xml:space="preserve">впливає на </w:t>
      </w:r>
      <w:r w:rsidRPr="001E728A">
        <w:rPr>
          <w:rFonts w:ascii="Times New Roman" w:hAnsi="Times New Roman"/>
          <w:sz w:val="28"/>
          <w:szCs w:val="28"/>
        </w:rPr>
        <w:t>невідшкодування витрат підприємства.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E17" w:rsidRPr="004B70BA" w:rsidRDefault="00FF0E17" w:rsidP="00FF0E17">
      <w:pPr>
        <w:pStyle w:val="a8"/>
        <w:numPr>
          <w:ilvl w:val="0"/>
          <w:numId w:val="2"/>
        </w:numPr>
        <w:spacing w:after="12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4B70BA">
        <w:rPr>
          <w:rFonts w:ascii="Times New Roman" w:hAnsi="Times New Roman"/>
          <w:sz w:val="28"/>
          <w:szCs w:val="28"/>
        </w:rPr>
        <w:t>щомісячний ріст цін на енергоносії, зокрема природний газ та електроенергію, що спричиняє невідповідність фактичних вартостей та цін на енергоносії з тими, що враховані у діючих тарифах для споживачів</w:t>
      </w:r>
      <w:r>
        <w:rPr>
          <w:rFonts w:ascii="Times New Roman" w:hAnsi="Times New Roman"/>
          <w:sz w:val="28"/>
          <w:szCs w:val="28"/>
        </w:rPr>
        <w:t>.</w:t>
      </w:r>
      <w:r w:rsidRPr="004B7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B70BA">
        <w:rPr>
          <w:rFonts w:ascii="Times New Roman" w:hAnsi="Times New Roman"/>
          <w:sz w:val="28"/>
          <w:szCs w:val="28"/>
        </w:rPr>
        <w:t>іст цін на</w:t>
      </w:r>
      <w:r>
        <w:rPr>
          <w:rFonts w:ascii="Times New Roman" w:hAnsi="Times New Roman"/>
          <w:sz w:val="28"/>
          <w:szCs w:val="28"/>
        </w:rPr>
        <w:t xml:space="preserve"> енергоносії не</w:t>
      </w:r>
      <w:r w:rsidRPr="004B70BA">
        <w:rPr>
          <w:rFonts w:ascii="Times New Roman" w:hAnsi="Times New Roman"/>
          <w:sz w:val="28"/>
          <w:szCs w:val="28"/>
        </w:rPr>
        <w:t>можливо щомісяця враховувати у коригуванні тарифів на постачання теплової енергії та постачання гарячої води оскільки процедура коригування та встановлення ОМС  тарифів триває значно довше.</w:t>
      </w:r>
    </w:p>
    <w:p w:rsidR="00FF0E17" w:rsidRDefault="00FF0E17" w:rsidP="00FF0E17">
      <w:pPr>
        <w:pStyle w:val="a8"/>
        <w:numPr>
          <w:ilvl w:val="0"/>
          <w:numId w:val="2"/>
        </w:numPr>
        <w:spacing w:before="0" w:after="160" w:line="259" w:lineRule="auto"/>
        <w:ind w:left="0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6B57B8">
        <w:rPr>
          <w:rFonts w:ascii="Times New Roman" w:hAnsi="Times New Roman"/>
          <w:sz w:val="28"/>
          <w:szCs w:val="28"/>
        </w:rPr>
        <w:t xml:space="preserve">омісячні авансові платежі за природний газ ТзОВ «Нафтогаз </w:t>
      </w:r>
      <w:proofErr w:type="spellStart"/>
      <w:r w:rsidRPr="006B57B8">
        <w:rPr>
          <w:rFonts w:ascii="Times New Roman" w:hAnsi="Times New Roman"/>
          <w:sz w:val="28"/>
          <w:szCs w:val="28"/>
        </w:rPr>
        <w:t>Трейдинг</w:t>
      </w:r>
      <w:proofErr w:type="spellEnd"/>
      <w:r w:rsidRPr="006B57B8">
        <w:rPr>
          <w:rFonts w:ascii="Times New Roman" w:hAnsi="Times New Roman"/>
          <w:sz w:val="28"/>
          <w:szCs w:val="28"/>
        </w:rPr>
        <w:t xml:space="preserve">», що призводить до повної відсутності обігових коштів у підприємства, оскільки населення, як основний споживач, оплачує за послуги на умовах </w:t>
      </w:r>
      <w:proofErr w:type="spellStart"/>
      <w:r w:rsidRPr="006B57B8">
        <w:rPr>
          <w:rFonts w:ascii="Times New Roman" w:hAnsi="Times New Roman"/>
          <w:sz w:val="28"/>
          <w:szCs w:val="28"/>
        </w:rPr>
        <w:t>післяоплати</w:t>
      </w:r>
      <w:proofErr w:type="spellEnd"/>
      <w:r w:rsidRPr="006B57B8">
        <w:rPr>
          <w:rFonts w:ascii="Times New Roman" w:hAnsi="Times New Roman"/>
          <w:sz w:val="28"/>
          <w:szCs w:val="28"/>
        </w:rPr>
        <w:t xml:space="preserve">. </w:t>
      </w:r>
    </w:p>
    <w:p w:rsidR="00FF0E17" w:rsidRPr="006B57B8" w:rsidRDefault="00FF0E17" w:rsidP="00FF0E17">
      <w:pPr>
        <w:pStyle w:val="a8"/>
        <w:numPr>
          <w:ilvl w:val="0"/>
          <w:numId w:val="2"/>
        </w:numPr>
        <w:spacing w:before="0" w:after="160" w:line="259" w:lineRule="auto"/>
        <w:ind w:left="0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постійний ріст тарифів на послуги з теплопостачання та низька платоспроможність призводить до збільшення заборгованості споживачів, що позбавляє підприємство</w:t>
      </w:r>
      <w:r w:rsidRPr="006B57B8">
        <w:rPr>
          <w:rFonts w:ascii="Times New Roman" w:hAnsi="Times New Roman"/>
          <w:sz w:val="28"/>
          <w:szCs w:val="28"/>
        </w:rPr>
        <w:t xml:space="preserve"> обігових коштів;</w:t>
      </w:r>
    </w:p>
    <w:p w:rsidR="00FF0E17" w:rsidRPr="001E728A" w:rsidRDefault="00FF0E17" w:rsidP="00FF0E17">
      <w:pPr>
        <w:pStyle w:val="a8"/>
        <w:numPr>
          <w:ilvl w:val="0"/>
          <w:numId w:val="2"/>
        </w:numPr>
        <w:spacing w:after="12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передоплата підприємством за паливно-енергетичні ресурси (природний газ, послуги з розподілу природного газу, електроенергія, послуги з розподілу електричної енергії);</w:t>
      </w:r>
    </w:p>
    <w:p w:rsidR="00FF0E17" w:rsidRPr="006B57B8" w:rsidRDefault="00FF0E17" w:rsidP="00FF0E17">
      <w:pPr>
        <w:pStyle w:val="a8"/>
        <w:numPr>
          <w:ilvl w:val="0"/>
          <w:numId w:val="2"/>
        </w:numPr>
        <w:spacing w:before="0" w:after="160" w:line="259" w:lineRule="auto"/>
        <w:ind w:left="0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B57B8">
        <w:rPr>
          <w:rFonts w:ascii="Times New Roman" w:hAnsi="Times New Roman"/>
          <w:sz w:val="28"/>
          <w:szCs w:val="28"/>
        </w:rPr>
        <w:t>вотування обсягів газу</w:t>
      </w:r>
      <w:r>
        <w:rPr>
          <w:rFonts w:ascii="Times New Roman" w:hAnsi="Times New Roman"/>
          <w:sz w:val="28"/>
          <w:szCs w:val="28"/>
        </w:rPr>
        <w:t>, що передбачено в договорі з</w:t>
      </w:r>
      <w:r>
        <w:rPr>
          <w:rFonts w:ascii="Times New Roman" w:hAnsi="Times New Roman"/>
          <w:sz w:val="28"/>
          <w:szCs w:val="28"/>
        </w:rPr>
        <w:br/>
        <w:t>ТзОВ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Нафтогаз </w:t>
      </w:r>
      <w:proofErr w:type="spellStart"/>
      <w:r>
        <w:rPr>
          <w:rFonts w:ascii="Times New Roman" w:hAnsi="Times New Roman"/>
          <w:sz w:val="28"/>
          <w:szCs w:val="28"/>
        </w:rPr>
        <w:t>Трейдинг</w:t>
      </w:r>
      <w:proofErr w:type="spellEnd"/>
      <w:r>
        <w:rPr>
          <w:rFonts w:ascii="Times New Roman" w:hAnsi="Times New Roman"/>
          <w:sz w:val="28"/>
          <w:szCs w:val="28"/>
        </w:rPr>
        <w:t>». З</w:t>
      </w:r>
      <w:r w:rsidRPr="006B57B8">
        <w:rPr>
          <w:rFonts w:ascii="Times New Roman" w:hAnsi="Times New Roman"/>
          <w:sz w:val="28"/>
          <w:szCs w:val="28"/>
        </w:rPr>
        <w:t>а понаднормові обсяги використаного газу протягом опалювального сезону доведеться заплатити за газ щонайменше на 50% більше, адже вартість такого газу значно вища і має постійну тенденцію змінюватися щомісяц</w:t>
      </w:r>
      <w:r>
        <w:rPr>
          <w:rFonts w:ascii="Times New Roman" w:hAnsi="Times New Roman"/>
          <w:sz w:val="28"/>
          <w:szCs w:val="28"/>
        </w:rPr>
        <w:t>я, причому в сторону збільшення;</w:t>
      </w:r>
    </w:p>
    <w:p w:rsidR="00FF0E17" w:rsidRPr="006F6326" w:rsidRDefault="00FF0E17" w:rsidP="00FF0E17">
      <w:pPr>
        <w:pStyle w:val="a8"/>
        <w:numPr>
          <w:ilvl w:val="0"/>
          <w:numId w:val="2"/>
        </w:numPr>
        <w:spacing w:before="0" w:after="160" w:line="259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991415">
        <w:rPr>
          <w:rFonts w:ascii="Times New Roman" w:hAnsi="Times New Roman"/>
          <w:sz w:val="28"/>
          <w:szCs w:val="28"/>
        </w:rPr>
        <w:t>недосконалий механізм розрахунку вартості послуги з розподілу природного газу, а також визначення обсягів газу, які використовуються для розрахунків вартості такої послуги, що набув в зв’язку із змінами до Кодексу газорозподільчих систем, затверджених Постановою НКРЕКП</w:t>
      </w:r>
      <w:r>
        <w:rPr>
          <w:rFonts w:ascii="Times New Roman" w:hAnsi="Times New Roman"/>
          <w:sz w:val="28"/>
          <w:szCs w:val="28"/>
        </w:rPr>
        <w:br/>
      </w:r>
      <w:r w:rsidRPr="00991415">
        <w:rPr>
          <w:rFonts w:ascii="Times New Roman" w:hAnsi="Times New Roman"/>
          <w:sz w:val="28"/>
          <w:szCs w:val="28"/>
        </w:rPr>
        <w:t xml:space="preserve"> від 07.10.2019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415">
        <w:rPr>
          <w:rFonts w:ascii="Times New Roman" w:hAnsi="Times New Roman"/>
          <w:sz w:val="28"/>
          <w:szCs w:val="28"/>
        </w:rPr>
        <w:t>2080. Механізм оплати послуг з розподілу природного газу не враховує сезонність господарської діяльності теплопостачальних підприємств. ДКП «</w:t>
      </w:r>
      <w:proofErr w:type="spellStart"/>
      <w:r w:rsidRPr="00991415">
        <w:rPr>
          <w:rFonts w:ascii="Times New Roman" w:hAnsi="Times New Roman"/>
          <w:sz w:val="28"/>
          <w:szCs w:val="28"/>
        </w:rPr>
        <w:t>Луцьктепло</w:t>
      </w:r>
      <w:proofErr w:type="spellEnd"/>
      <w:r w:rsidRPr="00991415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991415">
        <w:rPr>
          <w:rFonts w:ascii="Times New Roman" w:hAnsi="Times New Roman"/>
          <w:sz w:val="28"/>
          <w:szCs w:val="28"/>
        </w:rPr>
        <w:t>міжопалювальний</w:t>
      </w:r>
      <w:proofErr w:type="spellEnd"/>
      <w:r w:rsidRPr="00991415">
        <w:rPr>
          <w:rFonts w:ascii="Times New Roman" w:hAnsi="Times New Roman"/>
          <w:sz w:val="28"/>
          <w:szCs w:val="28"/>
        </w:rPr>
        <w:t xml:space="preserve"> період надає лише послуги з постачання гарячої води (5% від річної реалізації), відповідно доходів, що надходять на рахунки не вистачає для повного розрахунку з Оператором ГРМ. </w:t>
      </w:r>
    </w:p>
    <w:sectPr w:rsidR="00FF0E17" w:rsidRPr="006F6326" w:rsidSect="00FF0E17">
      <w:pgSz w:w="11906" w:h="16838"/>
      <w:pgMar w:top="42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46B"/>
    <w:multiLevelType w:val="hybridMultilevel"/>
    <w:tmpl w:val="ADE24618"/>
    <w:lvl w:ilvl="0" w:tplc="33F23F8E">
      <w:numFmt w:val="bullet"/>
      <w:lvlText w:val="–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A6860D0"/>
    <w:multiLevelType w:val="hybridMultilevel"/>
    <w:tmpl w:val="49A6EA82"/>
    <w:lvl w:ilvl="0" w:tplc="D3E46B2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AC"/>
    <w:rsid w:val="000176D0"/>
    <w:rsid w:val="0008342F"/>
    <w:rsid w:val="000A0AB7"/>
    <w:rsid w:val="000D56AE"/>
    <w:rsid w:val="00143176"/>
    <w:rsid w:val="00146C4F"/>
    <w:rsid w:val="0014721D"/>
    <w:rsid w:val="001754F5"/>
    <w:rsid w:val="00175B29"/>
    <w:rsid w:val="00176875"/>
    <w:rsid w:val="00185057"/>
    <w:rsid w:val="001B7B95"/>
    <w:rsid w:val="001C01A0"/>
    <w:rsid w:val="001C49D2"/>
    <w:rsid w:val="001E42BE"/>
    <w:rsid w:val="001E57A1"/>
    <w:rsid w:val="00213C6A"/>
    <w:rsid w:val="002402D7"/>
    <w:rsid w:val="00247B16"/>
    <w:rsid w:val="00247B4A"/>
    <w:rsid w:val="002717EA"/>
    <w:rsid w:val="00281099"/>
    <w:rsid w:val="002878CA"/>
    <w:rsid w:val="002C6D63"/>
    <w:rsid w:val="002D0B5D"/>
    <w:rsid w:val="002E1700"/>
    <w:rsid w:val="002F0EA0"/>
    <w:rsid w:val="002F2279"/>
    <w:rsid w:val="0031008A"/>
    <w:rsid w:val="003278B3"/>
    <w:rsid w:val="003602E5"/>
    <w:rsid w:val="003607A0"/>
    <w:rsid w:val="00361AF3"/>
    <w:rsid w:val="00373634"/>
    <w:rsid w:val="0038635A"/>
    <w:rsid w:val="003B3105"/>
    <w:rsid w:val="00426DE4"/>
    <w:rsid w:val="0046663C"/>
    <w:rsid w:val="00480451"/>
    <w:rsid w:val="004B6E37"/>
    <w:rsid w:val="004B7E98"/>
    <w:rsid w:val="004D1B6F"/>
    <w:rsid w:val="004D6F3E"/>
    <w:rsid w:val="005074F1"/>
    <w:rsid w:val="00522786"/>
    <w:rsid w:val="005351A6"/>
    <w:rsid w:val="0059630B"/>
    <w:rsid w:val="005D3F5C"/>
    <w:rsid w:val="00604813"/>
    <w:rsid w:val="006346AA"/>
    <w:rsid w:val="00684BAE"/>
    <w:rsid w:val="00691D62"/>
    <w:rsid w:val="006A1338"/>
    <w:rsid w:val="006A63E7"/>
    <w:rsid w:val="006E2D39"/>
    <w:rsid w:val="00710D27"/>
    <w:rsid w:val="0074265A"/>
    <w:rsid w:val="00780352"/>
    <w:rsid w:val="00780991"/>
    <w:rsid w:val="00790B86"/>
    <w:rsid w:val="007D6ED3"/>
    <w:rsid w:val="007F6F0D"/>
    <w:rsid w:val="00851974"/>
    <w:rsid w:val="008B2BFB"/>
    <w:rsid w:val="008C21AD"/>
    <w:rsid w:val="008D4753"/>
    <w:rsid w:val="009074E3"/>
    <w:rsid w:val="009240AA"/>
    <w:rsid w:val="00932B83"/>
    <w:rsid w:val="00990377"/>
    <w:rsid w:val="009A33FE"/>
    <w:rsid w:val="009D54E1"/>
    <w:rsid w:val="009E0741"/>
    <w:rsid w:val="00A062FE"/>
    <w:rsid w:val="00A34111"/>
    <w:rsid w:val="00A35E05"/>
    <w:rsid w:val="00A858DA"/>
    <w:rsid w:val="00AA7558"/>
    <w:rsid w:val="00AC6024"/>
    <w:rsid w:val="00AC6343"/>
    <w:rsid w:val="00AC7337"/>
    <w:rsid w:val="00B07464"/>
    <w:rsid w:val="00B126E7"/>
    <w:rsid w:val="00B26D72"/>
    <w:rsid w:val="00B3572D"/>
    <w:rsid w:val="00B8602D"/>
    <w:rsid w:val="00BA2EAC"/>
    <w:rsid w:val="00BA4EC3"/>
    <w:rsid w:val="00BC1E90"/>
    <w:rsid w:val="00BE7191"/>
    <w:rsid w:val="00C35F29"/>
    <w:rsid w:val="00C41B73"/>
    <w:rsid w:val="00C53C3B"/>
    <w:rsid w:val="00C63034"/>
    <w:rsid w:val="00CA3757"/>
    <w:rsid w:val="00CA40B8"/>
    <w:rsid w:val="00CD16A6"/>
    <w:rsid w:val="00D01BB8"/>
    <w:rsid w:val="00D1019E"/>
    <w:rsid w:val="00D25C5D"/>
    <w:rsid w:val="00D2601F"/>
    <w:rsid w:val="00D350E9"/>
    <w:rsid w:val="00D455C6"/>
    <w:rsid w:val="00DA41B3"/>
    <w:rsid w:val="00DD0F4D"/>
    <w:rsid w:val="00DD25AB"/>
    <w:rsid w:val="00DD6239"/>
    <w:rsid w:val="00DF58DB"/>
    <w:rsid w:val="00E1186D"/>
    <w:rsid w:val="00E47562"/>
    <w:rsid w:val="00E62254"/>
    <w:rsid w:val="00EB19B6"/>
    <w:rsid w:val="00ED5A3B"/>
    <w:rsid w:val="00EE65F4"/>
    <w:rsid w:val="00EF033A"/>
    <w:rsid w:val="00EF15FA"/>
    <w:rsid w:val="00F34462"/>
    <w:rsid w:val="00F51118"/>
    <w:rsid w:val="00F730C7"/>
    <w:rsid w:val="00F76617"/>
    <w:rsid w:val="00F90F8E"/>
    <w:rsid w:val="00FB0563"/>
    <w:rsid w:val="00FC3B40"/>
    <w:rsid w:val="00FC50EF"/>
    <w:rsid w:val="00FD4515"/>
    <w:rsid w:val="00FF0E17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8F133-BABD-4FA0-979B-BC178F35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AC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2">
    <w:name w:val="heading 2"/>
    <w:basedOn w:val="a"/>
    <w:link w:val="20"/>
    <w:uiPriority w:val="9"/>
    <w:qFormat/>
    <w:rsid w:val="001C01A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B19B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"/>
    <w:rsid w:val="001C01A0"/>
    <w:rPr>
      <w:b/>
      <w:bCs/>
      <w:sz w:val="36"/>
      <w:szCs w:val="36"/>
    </w:rPr>
  </w:style>
  <w:style w:type="character" w:styleId="a5">
    <w:name w:val="Hyperlink"/>
    <w:uiPriority w:val="99"/>
    <w:unhideWhenUsed/>
    <w:rsid w:val="001C01A0"/>
    <w:rPr>
      <w:color w:val="0000FF"/>
      <w:u w:val="single"/>
    </w:rPr>
  </w:style>
  <w:style w:type="paragraph" w:styleId="a6">
    <w:name w:val="Balloon Text"/>
    <w:basedOn w:val="a"/>
    <w:semiHidden/>
    <w:rsid w:val="00D350E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D6239"/>
    <w:pPr>
      <w:widowControl/>
      <w:autoSpaceDE/>
      <w:autoSpaceDN/>
      <w:adjustRightInd/>
      <w:spacing w:after="150"/>
      <w:ind w:left="150" w:right="150"/>
    </w:pPr>
    <w:rPr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F0E17"/>
    <w:pPr>
      <w:widowControl/>
      <w:autoSpaceDE/>
      <w:autoSpaceDN/>
      <w:adjustRightInd/>
      <w:spacing w:before="120" w:line="288" w:lineRule="auto"/>
      <w:ind w:left="720"/>
      <w:contextualSpacing/>
      <w:jc w:val="both"/>
    </w:pPr>
    <w:rPr>
      <w:rFonts w:ascii="Arial" w:hAnsi="Arial"/>
      <w:szCs w:val="24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827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68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712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38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4578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8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667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643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5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645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6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527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719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9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6258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83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9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4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262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0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01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5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434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85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737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4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2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5587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0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4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8170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42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4582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7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71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Луцьктепло</Company>
  <LinksUpToDate>false</LinksUpToDate>
  <CharactersWithSpaces>2410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mailto:lutskteplo@kp.lutskrada.gov.ua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Vasya</dc:creator>
  <cp:keywords/>
  <dc:description/>
  <cp:lastModifiedBy>beseda</cp:lastModifiedBy>
  <cp:revision>2</cp:revision>
  <cp:lastPrinted>2013-10-18T12:28:00Z</cp:lastPrinted>
  <dcterms:created xsi:type="dcterms:W3CDTF">2021-08-13T05:39:00Z</dcterms:created>
  <dcterms:modified xsi:type="dcterms:W3CDTF">2021-08-13T05:39:00Z</dcterms:modified>
</cp:coreProperties>
</file>