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220" w:hanging="0"/>
        <w:rPr>
          <w:sz w:val="28"/>
          <w:szCs w:val="28"/>
          <w:lang w:val="uk-UA"/>
        </w:rPr>
      </w:pPr>
      <w:r>
        <w:rPr>
          <w:sz w:val="28"/>
          <w:szCs w:val="28"/>
          <w:lang w:val="uk-UA"/>
        </w:rPr>
        <w:t>Додаток</w:t>
      </w:r>
    </w:p>
    <w:p>
      <w:pPr>
        <w:pStyle w:val="Normal"/>
        <w:ind w:left="5220" w:hanging="0"/>
        <w:rPr>
          <w:sz w:val="28"/>
          <w:szCs w:val="28"/>
          <w:lang w:val="uk-UA"/>
        </w:rPr>
      </w:pPr>
      <w:r>
        <w:rPr>
          <w:sz w:val="28"/>
          <w:szCs w:val="28"/>
          <w:lang w:val="uk-UA"/>
        </w:rPr>
        <w:t>до рішення виконавчого комітету</w:t>
      </w:r>
    </w:p>
    <w:p>
      <w:pPr>
        <w:pStyle w:val="Normal"/>
        <w:ind w:left="5220" w:hanging="0"/>
        <w:rPr>
          <w:sz w:val="28"/>
          <w:szCs w:val="28"/>
          <w:lang w:val="uk-UA"/>
        </w:rPr>
      </w:pPr>
      <w:r>
        <w:rPr>
          <w:sz w:val="28"/>
          <w:szCs w:val="28"/>
          <w:lang w:val="uk-UA"/>
        </w:rPr>
        <w:t>міської ради</w:t>
      </w:r>
    </w:p>
    <w:p>
      <w:pPr>
        <w:pStyle w:val="Normal"/>
        <w:ind w:left="5220" w:hanging="0"/>
        <w:rPr>
          <w:sz w:val="28"/>
          <w:szCs w:val="28"/>
          <w:lang w:val="uk-UA"/>
        </w:rPr>
      </w:pPr>
      <w:r>
        <w:rPr>
          <w:sz w:val="28"/>
          <w:szCs w:val="28"/>
          <w:lang w:val="uk-UA"/>
        </w:rPr>
        <w:t>_______________ № _________</w:t>
      </w:r>
    </w:p>
    <w:p>
      <w:pPr>
        <w:pStyle w:val="Normal"/>
        <w:jc w:val="center"/>
        <w:rPr>
          <w:sz w:val="28"/>
          <w:szCs w:val="28"/>
          <w:lang w:val="uk-UA"/>
        </w:rPr>
      </w:pPr>
      <w:r>
        <w:rPr>
          <w:sz w:val="28"/>
          <w:szCs w:val="28"/>
          <w:lang w:val="uk-UA"/>
        </w:rPr>
      </w:r>
    </w:p>
    <w:p>
      <w:pPr>
        <w:pStyle w:val="Normal"/>
        <w:jc w:val="center"/>
        <w:rPr>
          <w:b/>
          <w:b/>
          <w:lang w:val="uk-UA"/>
        </w:rPr>
      </w:pPr>
      <w:r>
        <w:rPr>
          <w:b/>
          <w:sz w:val="28"/>
          <w:szCs w:val="28"/>
          <w:lang w:val="uk-UA"/>
        </w:rPr>
        <w:t>Положення</w:t>
      </w:r>
      <w:r>
        <w:rPr>
          <w:b/>
          <w:lang w:val="uk-UA"/>
        </w:rPr>
        <w:t xml:space="preserve"> </w:t>
      </w:r>
    </w:p>
    <w:p>
      <w:pPr>
        <w:pStyle w:val="Normal"/>
        <w:jc w:val="center"/>
        <w:rPr/>
      </w:pPr>
      <w:r>
        <w:rPr>
          <w:b/>
          <w:sz w:val="28"/>
          <w:szCs w:val="28"/>
          <w:lang w:val="uk-UA"/>
        </w:rPr>
        <w:t>про Алею почесних поховань</w:t>
      </w:r>
    </w:p>
    <w:p>
      <w:pPr>
        <w:pStyle w:val="Normal"/>
        <w:jc w:val="center"/>
        <w:rPr/>
      </w:pPr>
      <w:r>
        <w:rPr>
          <w:b/>
          <w:color w:val="00000A"/>
          <w:sz w:val="28"/>
          <w:szCs w:val="28"/>
          <w:lang w:val="uk-UA"/>
        </w:rPr>
        <w:t>на кладовищі</w:t>
      </w:r>
      <w:r>
        <w:rPr>
          <w:b/>
          <w:sz w:val="28"/>
          <w:szCs w:val="28"/>
          <w:lang w:val="uk-UA"/>
        </w:rPr>
        <w:t xml:space="preserve"> у селі Гаразджа</w:t>
      </w:r>
    </w:p>
    <w:p>
      <w:pPr>
        <w:pStyle w:val="Normal"/>
        <w:jc w:val="both"/>
        <w:rPr>
          <w:sz w:val="20"/>
          <w:szCs w:val="20"/>
          <w:lang w:val="uk-UA"/>
        </w:rPr>
      </w:pPr>
      <w:r>
        <w:rPr>
          <w:sz w:val="20"/>
          <w:szCs w:val="20"/>
          <w:lang w:val="uk-UA"/>
        </w:rPr>
      </w:r>
    </w:p>
    <w:p>
      <w:pPr>
        <w:pStyle w:val="Normal"/>
        <w:ind w:firstLine="567"/>
        <w:jc w:val="both"/>
        <w:rPr>
          <w:color w:val="00000A"/>
          <w:sz w:val="28"/>
          <w:szCs w:val="28"/>
          <w:lang w:val="uk-UA"/>
        </w:rPr>
      </w:pPr>
      <w:r>
        <w:rPr>
          <w:color w:val="00000A"/>
          <w:sz w:val="28"/>
          <w:szCs w:val="28"/>
          <w:lang w:val="uk-UA"/>
        </w:rPr>
        <w:t xml:space="preserve">Положення про Алею почесних поховань на кладовищі у селі Гаразджа розроблено відповідно до </w:t>
      </w:r>
      <w:r>
        <w:rPr>
          <w:color w:val="00000A"/>
          <w:sz w:val="28"/>
          <w:szCs w:val="28"/>
          <w:highlight w:val="white"/>
          <w:lang w:val="uk-UA"/>
        </w:rPr>
        <w:t xml:space="preserve">статті 30 Закону України «Про місцеве самоврядування в Україні», статей 8, 23 Закону України «Про поховання та похоронну справу», Порядку утримання кладовищ та інших місць поховань, затвердженого наказом Державного комітету України з питань житлово-комунального господарства від 19.11.2003 № 193, </w:t>
      </w:r>
      <w:r>
        <w:rPr>
          <w:color w:val="00000A"/>
          <w:sz w:val="28"/>
          <w:szCs w:val="28"/>
          <w:lang w:val="uk-UA"/>
        </w:rPr>
        <w:t>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r>
        <w:rPr>
          <w:color w:val="00000A"/>
          <w:sz w:val="28"/>
          <w:szCs w:val="28"/>
          <w:highlight w:val="white"/>
          <w:lang w:val="uk-UA"/>
        </w:rPr>
        <w:t>, затвердженого постановою Кабінету Міністрів України від 28.10.2004 № 1445 зі змінами.</w:t>
      </w:r>
    </w:p>
    <w:p>
      <w:pPr>
        <w:pStyle w:val="Normal"/>
        <w:ind w:firstLine="567"/>
        <w:jc w:val="both"/>
        <w:rPr>
          <w:sz w:val="28"/>
          <w:szCs w:val="28"/>
          <w:highlight w:val="white"/>
          <w:lang w:val="uk-UA"/>
        </w:rPr>
      </w:pPr>
      <w:r>
        <w:rPr>
          <w:sz w:val="28"/>
          <w:szCs w:val="28"/>
          <w:highlight w:val="white"/>
          <w:lang w:val="uk-UA"/>
        </w:rPr>
      </w:r>
    </w:p>
    <w:p>
      <w:pPr>
        <w:pStyle w:val="Normal"/>
        <w:jc w:val="center"/>
        <w:rPr>
          <w:sz w:val="28"/>
          <w:szCs w:val="28"/>
          <w:highlight w:val="white"/>
          <w:lang w:val="uk-UA"/>
        </w:rPr>
      </w:pPr>
      <w:r>
        <w:rPr>
          <w:sz w:val="28"/>
          <w:szCs w:val="28"/>
          <w:highlight w:val="white"/>
          <w:lang w:val="uk-UA"/>
        </w:rPr>
        <w:t>1. Загальні положення</w:t>
      </w:r>
    </w:p>
    <w:p>
      <w:pPr>
        <w:pStyle w:val="Normal"/>
        <w:jc w:val="center"/>
        <w:rPr>
          <w:sz w:val="20"/>
          <w:szCs w:val="20"/>
          <w:highlight w:val="white"/>
          <w:lang w:val="uk-UA"/>
        </w:rPr>
      </w:pPr>
      <w:r>
        <w:rPr>
          <w:sz w:val="20"/>
          <w:szCs w:val="20"/>
          <w:highlight w:val="white"/>
          <w:lang w:val="uk-UA"/>
        </w:rPr>
      </w:r>
    </w:p>
    <w:p>
      <w:pPr>
        <w:pStyle w:val="NormalWeb"/>
        <w:shd w:val="clear" w:color="auto" w:fill="FFFFFF"/>
        <w:ind w:firstLine="567"/>
        <w:jc w:val="both"/>
        <w:rPr>
          <w:sz w:val="28"/>
          <w:szCs w:val="28"/>
          <w:lang w:val="uk-UA"/>
        </w:rPr>
      </w:pPr>
      <w:r>
        <w:rPr>
          <w:sz w:val="28"/>
          <w:szCs w:val="28"/>
          <w:lang w:val="uk-UA"/>
        </w:rPr>
        <w:t xml:space="preserve">Алея почесних поховань </w:t>
      </w:r>
      <w:r>
        <w:rPr>
          <w:color w:val="00000A"/>
          <w:sz w:val="28"/>
          <w:szCs w:val="28"/>
          <w:lang w:val="uk-UA"/>
        </w:rPr>
        <w:t>розташована на кладовищі</w:t>
      </w:r>
      <w:r>
        <w:rPr>
          <w:sz w:val="28"/>
          <w:szCs w:val="28"/>
          <w:lang w:val="uk-UA"/>
        </w:rPr>
        <w:t xml:space="preserve"> у селі Гаразджа.</w:t>
      </w:r>
    </w:p>
    <w:p>
      <w:pPr>
        <w:pStyle w:val="NormalWeb"/>
        <w:shd w:val="clear" w:color="auto" w:fill="FFFFFF"/>
        <w:ind w:firstLine="567"/>
        <w:jc w:val="both"/>
        <w:rPr>
          <w:color w:val="00000A"/>
          <w:sz w:val="28"/>
          <w:szCs w:val="28"/>
          <w:lang w:val="uk-UA"/>
        </w:rPr>
      </w:pPr>
      <w:r>
        <w:rPr>
          <w:sz w:val="28"/>
          <w:szCs w:val="28"/>
          <w:lang w:val="uk-UA"/>
        </w:rPr>
        <w:t xml:space="preserve">Похованню (перепохованню) на Алеї почесних поховань підлягають військовослужбовці, працівники Національної поліції України, які загинули (померли, внаслідок отримання поранення, контузії) під час участі в бойових діях проти військової агресії Російської Федерації та які були зареєстровані або </w:t>
      </w:r>
      <w:r>
        <w:rPr>
          <w:color w:val="00000A"/>
          <w:sz w:val="28"/>
          <w:szCs w:val="28"/>
          <w:lang w:val="uk-UA"/>
        </w:rPr>
        <w:t xml:space="preserve">проживали не менше п’яти років у населених пунктах Луцької міської територіальної громади, а також військовослужбовці, працівники Національної поліції України, сім’ї яких (батьки, дружина, діти) зареєстровані або не менше п’яти років проживають у населених пунктах Луцької міської територіальної громади (на підставі підтверджуючих документів). </w:t>
      </w:r>
    </w:p>
    <w:p>
      <w:pPr>
        <w:pStyle w:val="NormalWeb"/>
        <w:shd w:val="clear" w:color="auto" w:fill="FFFFFF"/>
        <w:ind w:firstLine="567"/>
        <w:jc w:val="both"/>
        <w:rPr>
          <w:color w:val="00000A"/>
          <w:lang w:val="uk-UA"/>
        </w:rPr>
      </w:pPr>
      <w:r>
        <w:rPr>
          <w:color w:val="00000A"/>
          <w:lang w:val="uk-UA"/>
        </w:rPr>
      </w:r>
    </w:p>
    <w:p>
      <w:pPr>
        <w:pStyle w:val="Normal"/>
        <w:jc w:val="center"/>
        <w:rPr>
          <w:sz w:val="28"/>
          <w:szCs w:val="28"/>
          <w:lang w:val="uk-UA"/>
        </w:rPr>
      </w:pPr>
      <w:r>
        <w:rPr>
          <w:sz w:val="28"/>
          <w:szCs w:val="28"/>
          <w:lang w:val="uk-UA"/>
        </w:rPr>
        <w:t>2. Мета</w:t>
      </w:r>
    </w:p>
    <w:p>
      <w:pPr>
        <w:pStyle w:val="Normal"/>
        <w:ind w:firstLine="567"/>
        <w:rPr>
          <w:color w:val="00000A"/>
          <w:sz w:val="28"/>
          <w:szCs w:val="28"/>
          <w:lang w:val="uk-UA"/>
        </w:rPr>
      </w:pPr>
      <w:r>
        <w:rPr>
          <w:color w:val="00000A"/>
          <w:sz w:val="28"/>
          <w:szCs w:val="28"/>
          <w:lang w:val="uk-UA"/>
        </w:rPr>
      </w:r>
    </w:p>
    <w:p>
      <w:pPr>
        <w:pStyle w:val="Normal"/>
        <w:ind w:firstLine="567"/>
        <w:jc w:val="both"/>
        <w:rPr>
          <w:color w:val="00000A"/>
          <w:sz w:val="28"/>
          <w:szCs w:val="28"/>
          <w:lang w:val="uk-UA"/>
        </w:rPr>
      </w:pPr>
      <w:r>
        <w:rPr>
          <w:color w:val="00000A"/>
          <w:sz w:val="28"/>
          <w:szCs w:val="28"/>
          <w:lang w:val="uk-UA"/>
        </w:rPr>
        <w:t>Нормативно закріпити виділення на кладовищі</w:t>
      </w:r>
      <w:r>
        <w:rPr>
          <w:sz w:val="28"/>
          <w:szCs w:val="28"/>
          <w:lang w:val="uk-UA"/>
        </w:rPr>
        <w:t xml:space="preserve"> у селі Гаразджа</w:t>
      </w:r>
      <w:r>
        <w:rPr>
          <w:color w:val="00000A"/>
          <w:sz w:val="28"/>
          <w:szCs w:val="28"/>
          <w:lang w:val="uk-UA"/>
        </w:rPr>
        <w:t xml:space="preserve"> місця для поховання (перепоховання) загиблих </w:t>
      </w:r>
      <w:r>
        <w:rPr>
          <w:sz w:val="28"/>
          <w:szCs w:val="28"/>
          <w:lang w:val="uk-UA"/>
        </w:rPr>
        <w:t>(померлих, внаслідок отримання поранення, контузії)</w:t>
      </w:r>
      <w:r>
        <w:rPr>
          <w:color w:val="00000A"/>
          <w:sz w:val="28"/>
          <w:szCs w:val="28"/>
          <w:lang w:val="uk-UA"/>
        </w:rPr>
        <w:t xml:space="preserve"> під час проходження військової служби в зоні проведення бойових дій проти військової агресії Російської Федерації, для гідного пошанування подвигу загиблих військовослужбовців, прояву поваги та шани до їх самопожертви від влади та суспільства, уважного та дбайливого ставлення до родин загиблих, координацію ініціатив та заходів між органами місцевого самоврядування та територіальною громадою.</w:t>
      </w:r>
    </w:p>
    <w:p>
      <w:pPr>
        <w:pStyle w:val="Normal"/>
        <w:ind w:firstLine="567"/>
        <w:jc w:val="both"/>
        <w:rPr>
          <w:color w:val="00000A"/>
          <w:sz w:val="28"/>
          <w:szCs w:val="28"/>
          <w:lang w:val="uk-UA"/>
        </w:rPr>
      </w:pPr>
      <w:r>
        <w:rPr>
          <w:color w:val="00000A"/>
          <w:sz w:val="28"/>
          <w:szCs w:val="28"/>
          <w:lang w:val="uk-UA"/>
        </w:rPr>
      </w:r>
    </w:p>
    <w:p>
      <w:pPr>
        <w:pStyle w:val="Normal"/>
        <w:ind w:firstLine="567"/>
        <w:jc w:val="center"/>
        <w:rPr>
          <w:sz w:val="28"/>
          <w:szCs w:val="28"/>
          <w:lang w:val="uk-UA"/>
        </w:rPr>
      </w:pPr>
      <w:r>
        <w:rPr>
          <w:sz w:val="28"/>
          <w:szCs w:val="28"/>
          <w:lang w:val="uk-UA"/>
        </w:rPr>
        <w:t>3.</w:t>
      </w:r>
      <w:r>
        <w:rPr>
          <w:sz w:val="28"/>
          <w:szCs w:val="28"/>
          <w:lang w:val="en-US"/>
        </w:rPr>
        <w:t> </w:t>
      </w:r>
      <w:r>
        <w:rPr>
          <w:sz w:val="28"/>
          <w:szCs w:val="28"/>
          <w:lang w:val="uk-UA"/>
        </w:rPr>
        <w:t>Організація та фінансування поховань (перепоховань)</w:t>
      </w:r>
    </w:p>
    <w:p>
      <w:pPr>
        <w:pStyle w:val="Normal"/>
        <w:ind w:firstLine="567"/>
        <w:rPr>
          <w:sz w:val="28"/>
          <w:szCs w:val="28"/>
          <w:lang w:val="uk-UA"/>
        </w:rPr>
      </w:pPr>
      <w:r>
        <w:rPr>
          <w:sz w:val="28"/>
          <w:szCs w:val="28"/>
          <w:lang w:val="uk-UA"/>
        </w:rPr>
      </w:r>
    </w:p>
    <w:p>
      <w:pPr>
        <w:pStyle w:val="Normal"/>
        <w:ind w:firstLine="567"/>
        <w:jc w:val="both"/>
        <w:rPr>
          <w:sz w:val="28"/>
          <w:szCs w:val="28"/>
          <w:lang w:val="uk-UA"/>
        </w:rPr>
      </w:pPr>
      <w:r>
        <w:rPr>
          <w:sz w:val="28"/>
          <w:szCs w:val="28"/>
          <w:lang w:val="uk-UA"/>
        </w:rPr>
        <w:t xml:space="preserve">Поховання на Алеї почесних поховань здійснюється на підставі повідомлення Луцького об’єднаного міського територіального центру комплектування та соціальної підтримки, органу Національної поліції України про загибель (настання смерті внаслідок отримання поранення, контузії) військовослужбовця, працівника Національної поліції України під час участі в бойових діях проти військової агресії Російської Федерації. </w:t>
      </w:r>
    </w:p>
    <w:p>
      <w:pPr>
        <w:pStyle w:val="Normal"/>
        <w:ind w:firstLine="567"/>
        <w:jc w:val="both"/>
        <w:rPr>
          <w:sz w:val="28"/>
          <w:szCs w:val="28"/>
          <w:lang w:val="uk-UA"/>
        </w:rPr>
      </w:pPr>
      <w:r>
        <w:rPr>
          <w:sz w:val="28"/>
          <w:szCs w:val="28"/>
          <w:lang w:val="uk-UA"/>
        </w:rPr>
        <w:t xml:space="preserve">Перепоховання військовослужбовців, працівників Національної поліції України, зазначених в абзаці 2 Розділу 1 цього Положення, здійснюється з дотриманням вимог статті 21 Закону України «Про поховання та похоронну справу». </w:t>
      </w:r>
    </w:p>
    <w:p>
      <w:pPr>
        <w:pStyle w:val="Normal"/>
        <w:ind w:firstLine="567"/>
        <w:jc w:val="both"/>
        <w:rPr>
          <w:sz w:val="28"/>
          <w:szCs w:val="28"/>
          <w:lang w:val="uk-UA"/>
        </w:rPr>
      </w:pPr>
      <w:r>
        <w:rPr>
          <w:sz w:val="28"/>
          <w:szCs w:val="28"/>
          <w:lang w:val="uk-UA"/>
        </w:rPr>
        <w:t xml:space="preserve">Поховання (перепоховання) загиблих (померлих, внаслідок отримання поранення, контузії) під час участі в бойових діях проти військової агресії Російської Федерації військовослужбовців, працівників Національної поліції України, які були зареєстровані або не менше п’яти років проживали у </w:t>
      </w:r>
      <w:r>
        <w:rPr>
          <w:color w:val="00000A"/>
          <w:sz w:val="28"/>
          <w:szCs w:val="28"/>
          <w:lang w:val="uk-UA"/>
        </w:rPr>
        <w:t>населених пунктах Луцької міської територіальної громади, а також військовослужбовців, працівників Національної поліції України, сім’ї яких (батьки, дружина, діти) зареєстровані або не менше п’яти років проживають у населених пунктах Луцької міської територіальної громади, проводиться</w:t>
      </w:r>
      <w:r>
        <w:rPr>
          <w:sz w:val="28"/>
          <w:szCs w:val="28"/>
          <w:lang w:val="uk-UA"/>
        </w:rPr>
        <w:t xml:space="preserve"> </w:t>
      </w:r>
      <w:r>
        <w:rPr>
          <w:color w:val="00000A"/>
          <w:sz w:val="28"/>
          <w:szCs w:val="28"/>
          <w:lang w:val="uk-UA"/>
        </w:rPr>
        <w:t xml:space="preserve">на підставі підтверджуючих документів </w:t>
      </w:r>
      <w:bookmarkStart w:id="0" w:name="_GoBack"/>
      <w:bookmarkEnd w:id="0"/>
      <w:r>
        <w:rPr>
          <w:sz w:val="28"/>
          <w:szCs w:val="28"/>
          <w:lang w:val="uk-UA"/>
        </w:rPr>
        <w:t xml:space="preserve">за рахунок коштів бюджету Луцької міської територіальної громади. </w:t>
      </w:r>
    </w:p>
    <w:p>
      <w:pPr>
        <w:pStyle w:val="Normal"/>
        <w:ind w:firstLine="567"/>
        <w:jc w:val="both"/>
        <w:rPr>
          <w:sz w:val="28"/>
          <w:szCs w:val="28"/>
          <w:lang w:val="uk-UA"/>
        </w:rPr>
      </w:pPr>
      <w:r>
        <w:rPr>
          <w:sz w:val="28"/>
          <w:szCs w:val="28"/>
          <w:lang w:val="uk-UA"/>
        </w:rPr>
        <w:t xml:space="preserve">Благоустрій та охорону Алеї почесних поховань на кладовищі у селі Гаразджа забезпечує Луцький спеціалізований комбінат комунально-побутового обслуговування за рахунок коштів бюджету Луцької міської територіальної громади згідно з річним кошторисом бюджетних призначень на кожен рік. </w:t>
      </w:r>
    </w:p>
    <w:p>
      <w:pPr>
        <w:pStyle w:val="Normal"/>
        <w:ind w:firstLine="567"/>
        <w:jc w:val="both"/>
        <w:rPr>
          <w:sz w:val="28"/>
          <w:szCs w:val="28"/>
          <w:lang w:val="uk-UA"/>
        </w:rPr>
      </w:pPr>
      <w:r>
        <w:rPr>
          <w:sz w:val="28"/>
          <w:szCs w:val="28"/>
          <w:lang w:val="uk-UA"/>
        </w:rPr>
        <w:t xml:space="preserve">Виготовлення та монтаж надмогильного пам’ятника існуючого зразка забезпечує департамент житлово-комунального господарства міської ради. </w:t>
      </w:r>
    </w:p>
    <w:p>
      <w:pPr>
        <w:pStyle w:val="Normal"/>
        <w:ind w:firstLine="567"/>
        <w:jc w:val="both"/>
        <w:rPr>
          <w:sz w:val="28"/>
          <w:szCs w:val="28"/>
          <w:lang w:val="uk-UA"/>
        </w:rPr>
      </w:pPr>
      <w:r>
        <w:rPr>
          <w:color w:val="00000A"/>
          <w:sz w:val="28"/>
          <w:szCs w:val="28"/>
          <w:lang w:val="uk-UA"/>
        </w:rPr>
        <w:t>Підпоховання п</w:t>
      </w:r>
      <w:r>
        <w:rPr>
          <w:sz w:val="28"/>
          <w:szCs w:val="28"/>
          <w:lang w:val="uk-UA"/>
        </w:rPr>
        <w:t>омерлих членів родини до існуючої могили на Алеї почесних поховань заборонено.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Заступник міського голови,</w:t>
      </w:r>
    </w:p>
    <w:p>
      <w:pPr>
        <w:pStyle w:val="Normal"/>
        <w:jc w:val="both"/>
        <w:rPr>
          <w:sz w:val="28"/>
          <w:szCs w:val="28"/>
          <w:lang w:val="uk-UA"/>
        </w:rPr>
      </w:pPr>
      <w:r>
        <w:rPr>
          <w:sz w:val="28"/>
          <w:szCs w:val="28"/>
          <w:lang w:val="uk-UA"/>
        </w:rPr>
        <w:t>керуючий справами виконкому                                                   Юрій ВЕРБИЧ</w:t>
      </w:r>
    </w:p>
    <w:p>
      <w:pPr>
        <w:pStyle w:val="Normal"/>
        <w:jc w:val="both"/>
        <w:rPr>
          <w:szCs w:val="28"/>
          <w:lang w:val="uk-UA"/>
        </w:rPr>
      </w:pPr>
      <w:r>
        <w:rPr>
          <w:szCs w:val="28"/>
          <w:lang w:val="uk-UA"/>
        </w:rPr>
      </w:r>
    </w:p>
    <w:p>
      <w:pPr>
        <w:pStyle w:val="Normal"/>
        <w:jc w:val="both"/>
        <w:rPr>
          <w:szCs w:val="28"/>
          <w:lang w:val="uk-UA"/>
        </w:rPr>
      </w:pPr>
      <w:r>
        <w:rPr>
          <w:szCs w:val="28"/>
          <w:lang w:val="uk-UA"/>
        </w:rPr>
      </w:r>
    </w:p>
    <w:p>
      <w:pPr>
        <w:pStyle w:val="Normal"/>
        <w:jc w:val="both"/>
        <w:rPr>
          <w:szCs w:val="28"/>
          <w:lang w:val="uk-UA"/>
        </w:rPr>
      </w:pPr>
      <w:r>
        <w:rPr>
          <w:szCs w:val="28"/>
          <w:lang w:val="uk-UA"/>
        </w:rPr>
        <w:t>Гнатів 723 426</w:t>
      </w:r>
    </w:p>
    <w:p>
      <w:pPr>
        <w:pStyle w:val="Normal"/>
        <w:jc w:val="both"/>
        <w:rPr/>
      </w:pPr>
      <w:r>
        <w:rPr/>
      </w:r>
    </w:p>
    <w:sectPr>
      <w:headerReference w:type="default" r:id="rId2"/>
      <w:headerReference w:type="first" r:id="rId3"/>
      <w:type w:val="nextPage"/>
      <w:pgSz w:w="11906" w:h="16838"/>
      <w:pgMar w:left="1985" w:right="567" w:header="567" w:top="624" w:footer="0" w:bottom="1134" w:gutter="0"/>
      <w:pgNumType w:start="1" w:fmt="decimal"/>
      <w:formProt w:val="false"/>
      <w:titlePg/>
      <w:textDirection w:val="lrTb"/>
      <w:docGrid w:type="default" w:linePitch="360" w:charSpace="429496053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30110960"/>
    </w:sdtPr>
    <w:sdtContent>
      <w:p>
        <w:pPr>
          <w:pStyle w:val="Style20"/>
          <w:jc w:val="center"/>
          <w:rPr/>
        </w:pPr>
        <w:r>
          <w:rPr>
            <w:sz w:val="28"/>
            <w:szCs w:val="28"/>
          </w:rPr>
          <w:fldChar w:fldCharType="begin"/>
        </w:r>
        <w:r>
          <w:rPr>
            <w:sz w:val="28"/>
            <w:szCs w:val="28"/>
          </w:rPr>
          <w:instrText> PAGE </w:instrText>
        </w:r>
        <w:r>
          <w:rPr>
            <w:sz w:val="28"/>
            <w:szCs w:val="28"/>
          </w:rPr>
          <w:fldChar w:fldCharType="separate"/>
        </w:r>
        <w:r>
          <w:rPr>
            <w:sz w:val="28"/>
            <w:szCs w:val="28"/>
          </w:rPr>
          <w:t>2</w:t>
        </w:r>
        <w:r>
          <w:rPr>
            <w:sz w:val="28"/>
            <w:szCs w:val="28"/>
          </w:rPr>
          <w:fldChar w:fldCharType="end"/>
        </w:r>
      </w:p>
    </w:sdtContent>
  </w:sdt>
  <w:p>
    <w:pPr>
      <w:pStyle w:val="Style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pPr>
    <w:r>
      <w:rPr/>
    </w:r>
  </w:p>
  <w:p>
    <w:pPr>
      <w:pStyle w:val="Style20"/>
      <w:rPr/>
    </w:pPr>
    <w:r>
      <w:rPr/>
    </w:r>
  </w:p>
</w:hdr>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2"/>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b95414"/>
    <w:pPr>
      <w:widowControl/>
      <w:suppressAutoHyphens w:val="true"/>
      <w:bidi w:val="0"/>
      <w:jc w:val="left"/>
    </w:pPr>
    <w:rPr>
      <w:rFonts w:ascii="Times New Roman" w:hAnsi="Times New Roman" w:eastAsia="Times New Roman" w:cs="Times New Roman"/>
      <w:color w:val="00000A"/>
      <w:kern w:val="0"/>
      <w:sz w:val="24"/>
      <w:szCs w:val="24"/>
      <w:lang w:val="ru-RU" w:eastAsia="ru-RU" w:bidi="ar-SA"/>
    </w:rPr>
  </w:style>
  <w:style w:type="paragraph" w:styleId="1">
    <w:name w:val="Heading 1"/>
    <w:basedOn w:val="Normal"/>
    <w:qFormat/>
    <w:rsid w:val="00b95414"/>
    <w:pPr>
      <w:keepNext w:val="true"/>
      <w:outlineLvl w:val="0"/>
    </w:pPr>
    <w:rPr>
      <w:rFonts w:eastAsia="Arial Unicode MS"/>
      <w:b/>
      <w:sz w:val="28"/>
      <w:szCs w:val="20"/>
      <w:lang w:val="uk-UA"/>
    </w:rPr>
  </w:style>
  <w:style w:type="paragraph" w:styleId="2">
    <w:name w:val="Heading 2"/>
    <w:basedOn w:val="Normal"/>
    <w:qFormat/>
    <w:rsid w:val="00b95414"/>
    <w:pPr>
      <w:keepNext w:val="true"/>
      <w:ind w:left="2160" w:hanging="0"/>
      <w:jc w:val="center"/>
      <w:outlineLvl w:val="1"/>
    </w:pPr>
    <w:rPr>
      <w:rFonts w:eastAsia="Arial Unicode MS"/>
      <w:b/>
      <w:spacing w:val="20"/>
      <w:sz w:val="22"/>
      <w:szCs w:val="20"/>
      <w:lang w:val="uk-UA"/>
    </w:rPr>
  </w:style>
  <w:style w:type="paragraph" w:styleId="3">
    <w:name w:val="Heading 3"/>
    <w:basedOn w:val="Normal"/>
    <w:qFormat/>
    <w:rsid w:val="00b95414"/>
    <w:pPr>
      <w:keepNext w:val="true"/>
      <w:jc w:val="center"/>
      <w:outlineLvl w:val="2"/>
    </w:pPr>
    <w:rPr>
      <w:rFonts w:eastAsia="Arial Unicode MS"/>
      <w:b/>
      <w:sz w:val="28"/>
      <w:szCs w:val="28"/>
    </w:rPr>
  </w:style>
  <w:style w:type="character" w:styleId="DefaultParagraphFont" w:default="1">
    <w:name w:val="Default Paragraph Font"/>
    <w:uiPriority w:val="1"/>
    <w:semiHidden/>
    <w:unhideWhenUsed/>
    <w:qFormat/>
    <w:rPr/>
  </w:style>
  <w:style w:type="character" w:styleId="Style11" w:customStyle="1">
    <w:name w:val="Верхний колонтитул Знак"/>
    <w:basedOn w:val="DefaultParagraphFont"/>
    <w:uiPriority w:val="99"/>
    <w:qFormat/>
    <w:rsid w:val="00b84c0e"/>
    <w:rPr>
      <w:color w:val="00000A"/>
      <w:sz w:val="24"/>
      <w:szCs w:val="24"/>
    </w:rPr>
  </w:style>
  <w:style w:type="character" w:styleId="Style12" w:customStyle="1">
    <w:name w:val="Нижний колонтитул Знак"/>
    <w:basedOn w:val="DefaultParagraphFont"/>
    <w:qFormat/>
    <w:rsid w:val="00b84c0e"/>
    <w:rPr>
      <w:color w:val="00000A"/>
      <w:sz w:val="24"/>
      <w:szCs w:val="24"/>
    </w:rPr>
  </w:style>
  <w:style w:type="paragraph" w:styleId="Style13" w:customStyle="1">
    <w:name w:val="Заголовок"/>
    <w:basedOn w:val="Normal"/>
    <w:next w:val="Style14"/>
    <w:qFormat/>
    <w:rsid w:val="00900413"/>
    <w:pPr>
      <w:keepNext w:val="true"/>
      <w:spacing w:before="240" w:after="120"/>
    </w:pPr>
    <w:rPr>
      <w:rFonts w:ascii="Liberation Sans" w:hAnsi="Liberation Sans" w:eastAsia="Microsoft YaHei" w:cs="Mangal"/>
      <w:sz w:val="28"/>
      <w:szCs w:val="28"/>
    </w:rPr>
  </w:style>
  <w:style w:type="paragraph" w:styleId="Style14">
    <w:name w:val="Body Text"/>
    <w:basedOn w:val="Normal"/>
    <w:rsid w:val="00900413"/>
    <w:pPr>
      <w:spacing w:lineRule="auto" w:line="288" w:before="0" w:after="140"/>
    </w:pPr>
    <w:rPr/>
  </w:style>
  <w:style w:type="paragraph" w:styleId="Style15">
    <w:name w:val="List"/>
    <w:basedOn w:val="Style14"/>
    <w:rsid w:val="00900413"/>
    <w:pPr/>
    <w:rPr>
      <w:rFonts w:cs="Mangal"/>
    </w:rPr>
  </w:style>
  <w:style w:type="paragraph" w:styleId="Style16">
    <w:name w:val="Caption"/>
    <w:basedOn w:val="Normal"/>
    <w:qFormat/>
    <w:pPr>
      <w:suppressLineNumbers/>
      <w:spacing w:before="120" w:after="120"/>
    </w:pPr>
    <w:rPr>
      <w:rFonts w:cs="Mangal"/>
      <w:i/>
      <w:iCs/>
      <w:sz w:val="24"/>
      <w:szCs w:val="24"/>
    </w:rPr>
  </w:style>
  <w:style w:type="paragraph" w:styleId="Style17" w:customStyle="1">
    <w:name w:val="Покажчик"/>
    <w:basedOn w:val="Normal"/>
    <w:qFormat/>
    <w:rsid w:val="00900413"/>
    <w:pPr>
      <w:suppressLineNumbers/>
    </w:pPr>
    <w:rPr>
      <w:rFonts w:cs="Lohit Devanagari"/>
    </w:rPr>
  </w:style>
  <w:style w:type="paragraph" w:styleId="Caption">
    <w:name w:val="caption"/>
    <w:basedOn w:val="Normal"/>
    <w:qFormat/>
    <w:rsid w:val="00900413"/>
    <w:pPr>
      <w:suppressLineNumbers/>
      <w:spacing w:before="120" w:after="120"/>
    </w:pPr>
    <w:rPr>
      <w:rFonts w:cs="Mangal"/>
      <w:i/>
      <w:iCs/>
    </w:rPr>
  </w:style>
  <w:style w:type="paragraph" w:styleId="Indexheading">
    <w:name w:val="index heading"/>
    <w:basedOn w:val="Normal"/>
    <w:qFormat/>
    <w:pPr>
      <w:suppressLineNumbers/>
    </w:pPr>
    <w:rPr>
      <w:rFonts w:cs="Mangal"/>
    </w:rPr>
  </w:style>
  <w:style w:type="paragraph" w:styleId="11" w:customStyle="1">
    <w:name w:val="Указатель1"/>
    <w:basedOn w:val="Normal"/>
    <w:qFormat/>
    <w:rsid w:val="00900413"/>
    <w:pPr>
      <w:suppressLineNumbers/>
    </w:pPr>
    <w:rPr>
      <w:rFonts w:cs="Mangal"/>
    </w:rPr>
  </w:style>
  <w:style w:type="paragraph" w:styleId="Style18">
    <w:name w:val="Body Text Indent"/>
    <w:basedOn w:val="Normal"/>
    <w:rsid w:val="00b95414"/>
    <w:pPr>
      <w:ind w:firstLine="708"/>
      <w:jc w:val="both"/>
    </w:pPr>
    <w:rPr>
      <w:sz w:val="28"/>
      <w:lang w:val="uk-UA"/>
    </w:rPr>
  </w:style>
  <w:style w:type="paragraph" w:styleId="NormalWeb">
    <w:name w:val="Normal (Web)"/>
    <w:basedOn w:val="Normal"/>
    <w:qFormat/>
    <w:rsid w:val="00b95414"/>
    <w:pPr>
      <w:spacing w:beforeAutospacing="1" w:afterAutospacing="1"/>
    </w:pPr>
    <w:rPr/>
  </w:style>
  <w:style w:type="paragraph" w:styleId="Style19" w:customStyle="1">
    <w:name w:val="Верхний и нижний колонтитулы"/>
    <w:basedOn w:val="Normal"/>
    <w:qFormat/>
    <w:pPr/>
    <w:rPr/>
  </w:style>
  <w:style w:type="paragraph" w:styleId="Style20">
    <w:name w:val="Header"/>
    <w:basedOn w:val="Normal"/>
    <w:uiPriority w:val="99"/>
    <w:rsid w:val="00b84c0e"/>
    <w:pPr>
      <w:tabs>
        <w:tab w:val="center" w:pos="4819" w:leader="none"/>
        <w:tab w:val="right" w:pos="9639" w:leader="none"/>
      </w:tabs>
    </w:pPr>
    <w:rPr/>
  </w:style>
  <w:style w:type="paragraph" w:styleId="Style21">
    <w:name w:val="Footer"/>
    <w:basedOn w:val="Normal"/>
    <w:rsid w:val="00b84c0e"/>
    <w:pPr>
      <w:tabs>
        <w:tab w:val="center" w:pos="4819" w:leader="none"/>
        <w:tab w:val="right" w:pos="9639" w:leader="none"/>
      </w:tabs>
    </w:pPr>
    <w:rPr/>
  </w:style>
  <w:style w:type="paragraph" w:styleId="ListParagraph">
    <w:name w:val="List Paragraph"/>
    <w:basedOn w:val="Normal"/>
    <w:uiPriority w:val="34"/>
    <w:qFormat/>
    <w:rsid w:val="00223c2f"/>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Application>LibreOffice/6.0.3.2$Windows_X86_64 LibreOffice_project/8f48d515416608e3a835360314dac7e47fd0b821</Application>
  <Pages>2</Pages>
  <Words>501</Words>
  <Characters>3612</Characters>
  <CharactersWithSpaces>4146</CharactersWithSpaces>
  <Paragraphs>24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2020-03-12T13:49:00Z</dcterms:created>
  <dc:creator>WiZaRd</dc:creator>
  <dc:description/>
  <dc:language>uk-UA</dc:language>
  <cp:lastModifiedBy>Поліщук Оксана Анатоліївна</cp:lastModifiedBy>
  <cp:lastPrinted>2020-02-24T11:11:00Z</cp:lastPrinted>
  <dcterms:modified xsi:type="dcterms:W3CDTF">2022-07-08T12:24:00Z</dcterms:modified>
  <cp:revision>15</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