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 w:dxaOrig="1036" w:dyaOrig="1396"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41.95pt;height:54pt;mso-wrap-distance-right:0pt" filled="t" fillcolor="#FFFFFF" o:ole="">
            <v:imagedata r:id="rId3" o:title=""/>
          </v:shape>
          <o:OLEObject Type="Embed" ProgID="" ShapeID="ole_rId2" DrawAspect="Content" ObjectID="_944709011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lang w:val="uk-UA" w:eastAsia="ru-RU" w:bidi="ar-SA"/>
        </w:rPr>
        <w:t>06.07</w:t>
      </w:r>
      <w:r>
        <w:rPr>
          <w:rFonts w:eastAsia="Times New Roman" w:cs="Times New Roman"/>
          <w:color w:val="00000A"/>
          <w:kern w:val="0"/>
          <w:sz w:val="24"/>
          <w:szCs w:val="24"/>
          <w:lang w:val="uk-UA" w:eastAsia="ru-RU" w:bidi="ar-SA"/>
        </w:rPr>
        <w:t>.2022</w:t>
      </w:r>
      <w:r>
        <w:rPr/>
        <w:t xml:space="preserve">                                                   Луцьк                                                           № </w:t>
      </w:r>
      <w:r>
        <w:rPr>
          <w:rFonts w:eastAsia="Times New Roman" w:cs="Times New Roman"/>
          <w:color w:val="00000A"/>
          <w:kern w:val="0"/>
          <w:sz w:val="24"/>
          <w:szCs w:val="24"/>
          <w:lang w:val="uk-UA" w:eastAsia="ru-RU" w:bidi="ar-SA"/>
        </w:rPr>
        <w:t>7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 xml:space="preserve">Дорощук Т.В.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–</w:t>
      </w:r>
      <w:r>
        <w:rPr>
          <w:sz w:val="28"/>
          <w:szCs w:val="28"/>
        </w:rPr>
        <w:t xml:space="preserve">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/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/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 xml:space="preserve">1. 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ind w:firstLine="840"/>
        <w:rPr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ind w:firstLine="840"/>
        <w:rPr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>3</w:t>
      </w:r>
      <w:r>
        <w:rPr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ind w:firstLine="840"/>
        <w:rPr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. 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надання житла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» вимогам житлового законодавства України.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. 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виведення зі складу гуртожитку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вартири № 2 на вул. Рівненській, 109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» вимогам житлового законодавства України.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jc w:val="both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. 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надання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квартири соціального призначення Яковлеву І.М.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» вимогам житлового законодавства України.</w:t>
      </w:r>
    </w:p>
    <w:p>
      <w:pPr>
        <w:pStyle w:val="Normal"/>
        <w:jc w:val="both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sz w:val="28"/>
          <w:szCs w:val="28"/>
        </w:rPr>
        <w:tab/>
        <w:t>1. 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/>
          <w:bCs w:val="false"/>
          <w:sz w:val="28"/>
          <w:szCs w:val="28"/>
          <w:lang w:eastAsia="uk-UA"/>
        </w:rPr>
        <w:t>Осіюк М.П.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b w:val="false"/>
          <w:bCs w:val="false"/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b w:val="false"/>
          <w:bCs w:val="false"/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1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 xml:space="preserve"> 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bCs w:val="false"/>
          <w:sz w:val="28"/>
          <w:szCs w:val="28"/>
          <w:lang w:eastAsia="uk-UA"/>
        </w:rPr>
        <w:tab/>
        <w:t>Осіюк М.П.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b w:val="false"/>
          <w:bCs w:val="false"/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 w:val="false"/>
          <w:bCs w:val="false"/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надання військовослужбовцям службових квартир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 xml:space="preserve">надання </w:t>
      </w:r>
      <w:r>
        <w:rPr>
          <w:sz w:val="28"/>
          <w:szCs w:val="28"/>
          <w:lang w:eastAsia="zh-CN"/>
        </w:rPr>
        <w:t>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</w:rPr>
        <w:t>надання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5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виведення зі складу гуртожитку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вартири № 2 на вул. Рівненській, 109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виведення зі складу гуртожитку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вартири № 2 на вул. Рівненській, 109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6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надання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квартири соціального призначення Яковлеву І.М.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надання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квартири соціального призначення Яковлеву І.М.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ab/>
        <w:t>2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4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zh-CN"/>
        </w:rPr>
        <w:t xml:space="preserve">надання </w:t>
      </w:r>
      <w:r>
        <w:rPr>
          <w:sz w:val="28"/>
          <w:szCs w:val="28"/>
          <w:lang w:eastAsia="zh-CN"/>
        </w:rPr>
        <w:t>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5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виведення зі складу гуртожитку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вартири № 2 на вул. Рівненській, 109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6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надання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квартири соціального призначення Яковлеву І.М.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  Микола ОСІЮК</w:t>
      </w:r>
    </w:p>
    <w:p>
      <w:pPr>
        <w:pStyle w:val="Normal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</w:t>
      </w:r>
      <w:r>
        <w:rPr>
          <w:sz w:val="28"/>
          <w:szCs w:val="28"/>
          <w:lang w:eastAsia="zh-CN"/>
        </w:rPr>
        <w:t xml:space="preserve">екретар комісії      </w:t>
        <w:tab/>
        <w:tab/>
        <w:tab/>
        <w:tab/>
        <w:tab/>
        <w:t xml:space="preserve">     </w:t>
        <w:tab/>
        <w:t xml:space="preserve">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 xml:space="preserve">  Тетяна ДОРОЩУК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0"/>
    <w:uiPriority w:val="99"/>
    <w:qFormat/>
    <w:rsid w:val="000b7662"/>
    <w:pPr>
      <w:suppressAutoHyphens w:val="true"/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link w:val="a4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link w:val="a7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0" w:customStyle="1">
    <w:name w:val="Указатель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link w:val="a3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link w:val="a6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Application>LibreOffice/7.1.5.2$Windows_X86_64 LibreOffice_project/85f04e9f809797b8199d13c421bd8a2b025d52b5</Application>
  <AppVersion>15.0000</AppVersion>
  <Pages>4</Pages>
  <Words>936</Words>
  <Characters>6516</Characters>
  <CharactersWithSpaces>7620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2021-09-09T08:28:00Z</dcterms:created>
  <dc:creator>puntus</dc:creator>
  <dc:description/>
  <dc:language>uk-UA</dc:language>
  <cp:lastModifiedBy/>
  <cp:lastPrinted>2022-06-08T14:26:23Z</cp:lastPrinted>
  <dcterms:modified xsi:type="dcterms:W3CDTF">2022-07-06T16:46:44Z</dcterms:modified>
  <cp:revision>124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