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712E" w:rsidRDefault="00E84974">
      <w:pPr>
        <w:jc w:val="center"/>
        <w:rPr>
          <w:b/>
        </w:rPr>
      </w:pPr>
      <w:r>
        <w:rPr>
          <w:b/>
        </w:rPr>
        <w:t>Аналіз регуляторного впливу</w:t>
      </w:r>
    </w:p>
    <w:p w:rsidR="00D2712E" w:rsidRDefault="00D2712E">
      <w:pPr>
        <w:jc w:val="center"/>
        <w:rPr>
          <w:b/>
        </w:rPr>
      </w:pPr>
    </w:p>
    <w:p w:rsidR="00D2712E" w:rsidRDefault="00E84974">
      <w:pPr>
        <w:ind w:firstLine="709"/>
        <w:jc w:val="both"/>
      </w:pPr>
      <w:r>
        <w:t>(відповідно до статті 8 Закону України “Про засади державної регуляторної політики у сфері господарської діяльності”, Методики проведення аналізу впливу регуляторного акта, затвердженої постановою Кабінету Міністрів України від 11.03.2004 № 308, зі змінами).</w:t>
      </w:r>
    </w:p>
    <w:p w:rsidR="00D2712E" w:rsidRDefault="00E84974">
      <w:pPr>
        <w:ind w:firstLine="709"/>
        <w:jc w:val="both"/>
      </w:pPr>
      <w:r>
        <w:rPr>
          <w:b/>
        </w:rPr>
        <w:t>Назва регуляторного акта</w:t>
      </w:r>
      <w:r>
        <w:t xml:space="preserve"> – </w:t>
      </w:r>
      <w:proofErr w:type="spellStart"/>
      <w:r>
        <w:t>проєкт</w:t>
      </w:r>
      <w:proofErr w:type="spellEnd"/>
      <w:r>
        <w:t xml:space="preserve"> рішення виконавчого комітету міської ради «</w:t>
      </w:r>
      <w:r w:rsidR="00D048D1" w:rsidRPr="00D048D1">
        <w:t>Про внесення змін до рішення виконавчого комітету міської ради від 03.12.2014 № 699-1 «Про затвердження Положення про порядок та умови проведення конкурсу щодо визначення виконавця послуг з вивезення побутових відходів у місті Луцьку</w:t>
      </w:r>
      <w:r w:rsidR="00D048D1">
        <w:t>»</w:t>
      </w:r>
      <w:r>
        <w:rPr>
          <w:sz w:val="28"/>
          <w:szCs w:val="28"/>
        </w:rPr>
        <w:t xml:space="preserve">. </w:t>
      </w:r>
    </w:p>
    <w:p w:rsidR="00D2712E" w:rsidRDefault="00E84974">
      <w:pPr>
        <w:ind w:firstLine="709"/>
        <w:jc w:val="both"/>
      </w:pPr>
      <w:r>
        <w:rPr>
          <w:b/>
        </w:rPr>
        <w:t>Регуляторний орган</w:t>
      </w:r>
      <w:r>
        <w:t xml:space="preserve"> – виконавчий комітет Луцької міської ради. </w:t>
      </w:r>
    </w:p>
    <w:p w:rsidR="00D2712E" w:rsidRDefault="00E84974">
      <w:pPr>
        <w:ind w:firstLine="709"/>
        <w:jc w:val="both"/>
      </w:pPr>
      <w:r>
        <w:rPr>
          <w:b/>
        </w:rPr>
        <w:t>Розробник документа</w:t>
      </w:r>
      <w:r>
        <w:t xml:space="preserve"> – </w:t>
      </w:r>
      <w:r w:rsidR="00D048D1" w:rsidRPr="00D048D1">
        <w:t>департамент житлово-комунального господарства Луцької міської ради</w:t>
      </w:r>
      <w:r>
        <w:t>.</w:t>
      </w:r>
    </w:p>
    <w:p w:rsidR="00D2712E" w:rsidRDefault="00E84974">
      <w:pPr>
        <w:ind w:firstLine="708"/>
        <w:jc w:val="both"/>
        <w:rPr>
          <w:b/>
        </w:rPr>
      </w:pPr>
      <w:r>
        <w:rPr>
          <w:b/>
        </w:rPr>
        <w:t>Відповідальна особа:</w:t>
      </w:r>
    </w:p>
    <w:p w:rsidR="00D2712E" w:rsidRDefault="00E84974">
      <w:pPr>
        <w:ind w:firstLine="708"/>
        <w:jc w:val="both"/>
      </w:pPr>
      <w:r>
        <w:t xml:space="preserve">– директор департаменту </w:t>
      </w:r>
      <w:r w:rsidR="00D048D1" w:rsidRPr="00D048D1">
        <w:t xml:space="preserve">житлово-комунального господарства Луцької міської </w:t>
      </w:r>
      <w:proofErr w:type="spellStart"/>
      <w:r w:rsidR="00D048D1" w:rsidRPr="00D048D1">
        <w:t>ради</w:t>
      </w:r>
      <w:r w:rsidR="00D048D1">
        <w:t>Осіюк</w:t>
      </w:r>
      <w:proofErr w:type="spellEnd"/>
      <w:r w:rsidR="00D048D1">
        <w:t xml:space="preserve"> М. П.</w:t>
      </w:r>
    </w:p>
    <w:p w:rsidR="00D2712E" w:rsidRDefault="00E84974">
      <w:pPr>
        <w:ind w:firstLine="709"/>
        <w:jc w:val="both"/>
      </w:pPr>
      <w:r>
        <w:rPr>
          <w:b/>
        </w:rPr>
        <w:t>Контактний телефон</w:t>
      </w:r>
      <w:r>
        <w:t xml:space="preserve"> – </w:t>
      </w:r>
      <w:r>
        <w:rPr>
          <w:lang w:val="ru-RU"/>
        </w:rPr>
        <w:t xml:space="preserve">(0332) </w:t>
      </w:r>
      <w:r w:rsidR="00D048D1" w:rsidRPr="00D048D1">
        <w:t>773 159</w:t>
      </w:r>
      <w:r>
        <w:rPr>
          <w:lang w:val="ru-RU"/>
        </w:rPr>
        <w:t>;</w:t>
      </w:r>
      <w:r>
        <w:rPr>
          <w:color w:val="000000"/>
        </w:rPr>
        <w:t xml:space="preserve"> е-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 w:rsidR="00D048D1" w:rsidRPr="00D048D1">
        <w:t>deplutsk@lutskrada.gov.ua</w:t>
      </w:r>
    </w:p>
    <w:p w:rsidR="00D2712E" w:rsidRDefault="00D2712E">
      <w:pPr>
        <w:ind w:firstLine="709"/>
        <w:jc w:val="both"/>
        <w:rPr>
          <w:sz w:val="22"/>
          <w:szCs w:val="22"/>
        </w:rPr>
      </w:pPr>
    </w:p>
    <w:tbl>
      <w:tblPr>
        <w:tblW w:w="9750" w:type="dxa"/>
        <w:tblInd w:w="107" w:type="dxa"/>
        <w:tblLayout w:type="fixed"/>
        <w:tblCellMar>
          <w:left w:w="68" w:type="dxa"/>
          <w:right w:w="0" w:type="dxa"/>
        </w:tblCellMar>
        <w:tblLook w:val="04A0"/>
      </w:tblPr>
      <w:tblGrid>
        <w:gridCol w:w="449"/>
        <w:gridCol w:w="1497"/>
        <w:gridCol w:w="7804"/>
      </w:tblGrid>
      <w:tr w:rsidR="00D2712E" w:rsidTr="00455DA2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№ п/п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center"/>
            </w:pPr>
            <w:r>
              <w:t>Розділ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center"/>
            </w:pPr>
            <w:r>
              <w:t>Опис</w:t>
            </w:r>
          </w:p>
        </w:tc>
      </w:tr>
      <w:tr w:rsidR="00D2712E" w:rsidTr="00455DA2">
        <w:trPr>
          <w:trHeight w:val="69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1.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</w:pPr>
            <w:r>
              <w:t>Визначення проблеми та причин її виникнення</w:t>
            </w:r>
          </w:p>
          <w:p w:rsidR="00D2712E" w:rsidRDefault="00D2712E">
            <w:pPr>
              <w:widowControl w:val="0"/>
            </w:pPr>
          </w:p>
          <w:p w:rsidR="00D2712E" w:rsidRDefault="00D2712E">
            <w:pPr>
              <w:widowControl w:val="0"/>
            </w:pPr>
          </w:p>
          <w:p w:rsidR="00D2712E" w:rsidRDefault="00D2712E">
            <w:pPr>
              <w:widowControl w:val="0"/>
            </w:pPr>
          </w:p>
          <w:p w:rsidR="00D2712E" w:rsidRDefault="00D2712E">
            <w:pPr>
              <w:widowControl w:val="0"/>
            </w:pPr>
          </w:p>
          <w:p w:rsidR="00D2712E" w:rsidRDefault="00D2712E">
            <w:pPr>
              <w:widowControl w:val="0"/>
            </w:pPr>
          </w:p>
          <w:p w:rsidR="00D2712E" w:rsidRDefault="00D2712E">
            <w:pPr>
              <w:widowControl w:val="0"/>
            </w:pPr>
          </w:p>
          <w:p w:rsidR="00D2712E" w:rsidRDefault="00D2712E">
            <w:pPr>
              <w:widowControl w:val="0"/>
            </w:pP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712E" w:rsidRDefault="007E0216">
            <w:pPr>
              <w:widowControl w:val="0"/>
              <w:ind w:firstLine="6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 2014 року в Україні розпочато процес децентралізації. Р</w:t>
            </w:r>
            <w:r w:rsidRPr="007E0216">
              <w:rPr>
                <w:color w:val="000000"/>
                <w:szCs w:val="28"/>
              </w:rPr>
              <w:t>озпорядження</w:t>
            </w:r>
            <w:r>
              <w:rPr>
                <w:color w:val="000000"/>
                <w:szCs w:val="28"/>
              </w:rPr>
              <w:t>м</w:t>
            </w:r>
            <w:r w:rsidRPr="007E0216">
              <w:rPr>
                <w:color w:val="000000"/>
                <w:szCs w:val="28"/>
              </w:rPr>
              <w:t xml:space="preserve"> Кабінету Міністрів України від 12.06.2020 № 708-р «Про визначення адміністративних центрів та затвердження територій територіальних громад Волинської області»</w:t>
            </w:r>
            <w:r>
              <w:rPr>
                <w:color w:val="000000"/>
                <w:szCs w:val="28"/>
              </w:rPr>
              <w:t xml:space="preserve"> визначено новий</w:t>
            </w:r>
            <w:r w:rsidR="00023F0A">
              <w:rPr>
                <w:color w:val="000000"/>
                <w:szCs w:val="28"/>
              </w:rPr>
              <w:t xml:space="preserve"> адміністративно територіальний устрій Луцької міської територіальної громади.</w:t>
            </w:r>
          </w:p>
          <w:p w:rsidR="00411EEA" w:rsidRPr="003F1CA7" w:rsidRDefault="00411EEA" w:rsidP="00411EEA">
            <w:pPr>
              <w:widowControl w:val="0"/>
              <w:ind w:firstLine="620"/>
              <w:jc w:val="both"/>
              <w:rPr>
                <w:color w:val="auto"/>
                <w:szCs w:val="28"/>
              </w:rPr>
            </w:pPr>
            <w:r>
              <w:rPr>
                <w:color w:val="000000"/>
                <w:szCs w:val="28"/>
              </w:rPr>
              <w:t xml:space="preserve">Чинним </w:t>
            </w:r>
            <w:r w:rsidRPr="00411EEA">
              <w:rPr>
                <w:color w:val="000000"/>
                <w:szCs w:val="28"/>
              </w:rPr>
              <w:t>рішення</w:t>
            </w:r>
            <w:r>
              <w:rPr>
                <w:color w:val="000000"/>
                <w:szCs w:val="28"/>
              </w:rPr>
              <w:t>м</w:t>
            </w:r>
            <w:r w:rsidRPr="00411EEA">
              <w:rPr>
                <w:color w:val="000000"/>
                <w:szCs w:val="28"/>
              </w:rPr>
              <w:t xml:space="preserve"> виконавчого комітету міської ради від 03.12.2014 № 699-1</w:t>
            </w:r>
            <w:r>
              <w:rPr>
                <w:color w:val="000000"/>
                <w:szCs w:val="28"/>
              </w:rPr>
              <w:t xml:space="preserve"> затверджене </w:t>
            </w:r>
            <w:r>
              <w:t>П</w:t>
            </w:r>
            <w:r w:rsidRPr="00D048D1">
              <w:t>оложення про порядок та умови проведення конкурсу щодо визначення виконавця послуг з вивезення побутових відходів</w:t>
            </w:r>
            <w:r>
              <w:t xml:space="preserve"> у місті Луцьку, що не відповідає оновленому адміністративно-територіальному устрою Луцької міської територіальної громади</w:t>
            </w:r>
            <w:r w:rsidR="00F931D8">
              <w:t xml:space="preserve"> та вимагає відповідних змін для забезпечення можливості проведення такого </w:t>
            </w:r>
            <w:r w:rsidR="00F931D8" w:rsidRPr="003F1CA7">
              <w:rPr>
                <w:color w:val="auto"/>
              </w:rPr>
              <w:t>конкурсу</w:t>
            </w:r>
            <w:r w:rsidR="00C95EA5" w:rsidRPr="003F1CA7">
              <w:rPr>
                <w:color w:val="auto"/>
              </w:rPr>
              <w:t>на всій території</w:t>
            </w:r>
            <w:r w:rsidR="005F1ECA" w:rsidRPr="003F1CA7">
              <w:rPr>
                <w:color w:val="auto"/>
              </w:rPr>
              <w:t xml:space="preserve"> громади</w:t>
            </w:r>
            <w:r w:rsidR="00F931D8" w:rsidRPr="003F1CA7">
              <w:rPr>
                <w:color w:val="auto"/>
              </w:rPr>
              <w:t>.</w:t>
            </w:r>
          </w:p>
          <w:p w:rsidR="00E91F47" w:rsidRDefault="00E91F47" w:rsidP="00F931D8">
            <w:pPr>
              <w:widowControl w:val="0"/>
              <w:ind w:firstLine="620"/>
              <w:jc w:val="both"/>
            </w:pPr>
          </w:p>
        </w:tc>
      </w:tr>
      <w:tr w:rsidR="00D2712E" w:rsidTr="00455DA2">
        <w:trPr>
          <w:trHeight w:val="1058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1а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textAlignment w:val="baseline"/>
            </w:pPr>
            <w:r>
              <w:t>Визначити основні групи (підгрупи), на які проблема справляє вплив</w:t>
            </w:r>
          </w:p>
          <w:p w:rsidR="00D2712E" w:rsidRDefault="00D2712E">
            <w:pPr>
              <w:widowControl w:val="0"/>
              <w:rPr>
                <w:b/>
              </w:rPr>
            </w:pP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7425" w:type="dxa"/>
              <w:tblLayout w:type="fixed"/>
              <w:tblCellMar>
                <w:left w:w="5" w:type="dxa"/>
                <w:right w:w="0" w:type="dxa"/>
              </w:tblCellMar>
              <w:tblLook w:val="04A0"/>
            </w:tblPr>
            <w:tblGrid>
              <w:gridCol w:w="4590"/>
              <w:gridCol w:w="1754"/>
              <w:gridCol w:w="1081"/>
            </w:tblGrid>
            <w:tr w:rsidR="00D2712E">
              <w:trPr>
                <w:trHeight w:val="567"/>
              </w:trPr>
              <w:tc>
                <w:tcPr>
                  <w:tcW w:w="45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Групи (підгрупи)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Так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Ні</w:t>
                  </w:r>
                </w:p>
              </w:tc>
            </w:tr>
            <w:tr w:rsidR="00D2712E">
              <w:trPr>
                <w:trHeight w:val="587"/>
              </w:trPr>
              <w:tc>
                <w:tcPr>
                  <w:tcW w:w="45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Громадяни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Так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napToGrid w:val="0"/>
                    <w:spacing w:before="150" w:after="150"/>
                    <w:jc w:val="center"/>
                    <w:textAlignment w:val="baseline"/>
                  </w:pPr>
                  <w:r>
                    <w:rPr>
                      <w:lang w:val="ru-RU"/>
                    </w:rPr>
                    <w:t>-</w:t>
                  </w:r>
                </w:p>
              </w:tc>
            </w:tr>
            <w:tr w:rsidR="00D2712E">
              <w:trPr>
                <w:trHeight w:val="511"/>
              </w:trPr>
              <w:tc>
                <w:tcPr>
                  <w:tcW w:w="45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Орган місцевого самоврядування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Так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-</w:t>
                  </w:r>
                </w:p>
              </w:tc>
            </w:tr>
            <w:tr w:rsidR="00D2712E">
              <w:trPr>
                <w:trHeight w:val="587"/>
              </w:trPr>
              <w:tc>
                <w:tcPr>
                  <w:tcW w:w="45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Суб’єкти господарювання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Так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-</w:t>
                  </w:r>
                </w:p>
              </w:tc>
            </w:tr>
            <w:tr w:rsidR="00D2712E">
              <w:trPr>
                <w:trHeight w:val="657"/>
              </w:trPr>
              <w:tc>
                <w:tcPr>
                  <w:tcW w:w="45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у тому числі суб’єкти малого підприємництва</w:t>
                  </w:r>
                </w:p>
              </w:tc>
              <w:tc>
                <w:tcPr>
                  <w:tcW w:w="175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Так</w:t>
                  </w:r>
                </w:p>
              </w:tc>
              <w:tc>
                <w:tcPr>
                  <w:tcW w:w="108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-</w:t>
                  </w:r>
                </w:p>
              </w:tc>
            </w:tr>
          </w:tbl>
          <w:p w:rsidR="00D2712E" w:rsidRDefault="00D2712E">
            <w:pPr>
              <w:widowControl w:val="0"/>
            </w:pPr>
          </w:p>
        </w:tc>
      </w:tr>
      <w:tr w:rsidR="00D2712E" w:rsidTr="00455DA2">
        <w:trPr>
          <w:trHeight w:val="1058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1б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textAlignment w:val="baseline"/>
            </w:pPr>
            <w:r>
              <w:t xml:space="preserve">Зазначити, чому проблема не може бути розв’язана за допомогою </w:t>
            </w:r>
            <w:r>
              <w:lastRenderedPageBreak/>
              <w:t>ринкових механізмів</w:t>
            </w:r>
            <w:bookmarkStart w:id="0" w:name="n98"/>
            <w:bookmarkEnd w:id="0"/>
            <w:r>
              <w:t xml:space="preserve"> або за допомогою діючих регуляторних актів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5DA2" w:rsidRPr="00BE030E" w:rsidRDefault="00E84974" w:rsidP="00BE030E">
            <w:pPr>
              <w:widowControl w:val="0"/>
              <w:jc w:val="both"/>
            </w:pPr>
            <w:r>
              <w:lastRenderedPageBreak/>
              <w:t xml:space="preserve">   Дана проблема не може бути розв’язана за допомогою ринкових механізмів або за допомогою </w:t>
            </w:r>
            <w:r w:rsidR="00F931D8">
              <w:t>чинних</w:t>
            </w:r>
            <w:r>
              <w:t xml:space="preserve"> регуляторних актів, так як відповідно до </w:t>
            </w:r>
            <w:r w:rsidR="00A43DA2">
              <w:t xml:space="preserve">п. 5 </w:t>
            </w:r>
            <w:r w:rsidR="00FB541C">
              <w:t xml:space="preserve">Порядку проведення конкурсу на надання послуг з вивезення побутових відходів, що затверджений постановою Кабінету Міністрів України від 16 листопада 2011 р. № 1173, для проведення конкурсу   організатор конкурсу готує конкурсну документацію, яка повинна </w:t>
            </w:r>
            <w:r w:rsidR="00FB541C">
              <w:lastRenderedPageBreak/>
              <w:t>містити</w:t>
            </w:r>
            <w:r w:rsidR="00BE030E">
              <w:t xml:space="preserve">реквізити рішення органу місцевого самоврядування щодо </w:t>
            </w:r>
            <w:r w:rsidR="00BE030E" w:rsidRPr="00BE030E">
              <w:t>поряд</w:t>
            </w:r>
            <w:r w:rsidR="00BE030E">
              <w:t>ку та умов</w:t>
            </w:r>
            <w:r w:rsidR="00BE030E" w:rsidRPr="00BE030E">
              <w:t xml:space="preserve"> проведення конкурсу щодо визначення виконавця послуг з вивезення побутових відходів</w:t>
            </w:r>
            <w:r w:rsidR="00BE030E">
              <w:t xml:space="preserve"> на певній території.</w:t>
            </w:r>
          </w:p>
        </w:tc>
      </w:tr>
      <w:tr w:rsidR="00D2712E" w:rsidTr="00455DA2">
        <w:trPr>
          <w:trHeight w:val="567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lastRenderedPageBreak/>
              <w:t>2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center"/>
            </w:pPr>
            <w:r>
              <w:t>Цілі регулювання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95EA5" w:rsidRDefault="00C95EA5">
            <w:pPr>
              <w:widowControl w:val="0"/>
              <w:shd w:val="clear" w:color="auto" w:fill="FFFFFF"/>
              <w:ind w:left="48" w:right="58"/>
              <w:jc w:val="both"/>
            </w:pPr>
            <w:r>
              <w:t xml:space="preserve">     Забезпечення чіткого та прозорого механізму </w:t>
            </w:r>
            <w:r w:rsidRPr="00455DA2">
              <w:rPr>
                <w:color w:val="000000"/>
                <w:szCs w:val="28"/>
              </w:rPr>
              <w:t xml:space="preserve">проведення конкурсу </w:t>
            </w:r>
            <w:r>
              <w:rPr>
                <w:color w:val="000000"/>
                <w:szCs w:val="28"/>
              </w:rPr>
              <w:t>на</w:t>
            </w:r>
            <w:r w:rsidRPr="00455DA2">
              <w:rPr>
                <w:color w:val="000000"/>
                <w:szCs w:val="28"/>
              </w:rPr>
              <w:t xml:space="preserve"> визначення виконавця послуг з вивезення побутових відходів у</w:t>
            </w:r>
            <w:r>
              <w:rPr>
                <w:color w:val="000000"/>
                <w:szCs w:val="28"/>
              </w:rPr>
              <w:t xml:space="preserve"> Луцькій міській територіальній громад</w:t>
            </w:r>
            <w:r w:rsidR="00C40267">
              <w:rPr>
                <w:color w:val="000000"/>
                <w:szCs w:val="28"/>
              </w:rPr>
              <w:t>і</w:t>
            </w:r>
            <w:r>
              <w:rPr>
                <w:color w:val="000000"/>
                <w:szCs w:val="28"/>
              </w:rPr>
              <w:t>.</w:t>
            </w:r>
          </w:p>
          <w:p w:rsidR="00D2712E" w:rsidRDefault="00D2712E" w:rsidP="007B403D">
            <w:pPr>
              <w:widowControl w:val="0"/>
              <w:shd w:val="clear" w:color="auto" w:fill="FFFFFF"/>
              <w:ind w:left="48" w:right="58"/>
              <w:jc w:val="both"/>
            </w:pPr>
          </w:p>
        </w:tc>
      </w:tr>
      <w:tr w:rsidR="00D2712E" w:rsidTr="00455DA2">
        <w:trPr>
          <w:trHeight w:val="1058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3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center"/>
              <w:textAlignment w:val="baseline"/>
            </w:pPr>
            <w:r>
              <w:t>Визначення альтернативних способів</w:t>
            </w:r>
          </w:p>
          <w:p w:rsidR="00D2712E" w:rsidRDefault="00D2712E">
            <w:pPr>
              <w:widowControl w:val="0"/>
              <w:jc w:val="both"/>
            </w:pP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8340" w:type="dxa"/>
              <w:tblLayout w:type="fixed"/>
              <w:tblCellMar>
                <w:left w:w="5" w:type="dxa"/>
                <w:right w:w="0" w:type="dxa"/>
              </w:tblCellMar>
              <w:tblLook w:val="04A0"/>
            </w:tblPr>
            <w:tblGrid>
              <w:gridCol w:w="2669"/>
              <w:gridCol w:w="5671"/>
            </w:tblGrid>
            <w:tr w:rsidR="00D2712E" w:rsidTr="007B403D">
              <w:tc>
                <w:tcPr>
                  <w:tcW w:w="26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Вид альтернативи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Опис альтернативи</w:t>
                  </w:r>
                </w:p>
              </w:tc>
            </w:tr>
            <w:tr w:rsidR="00D2712E" w:rsidTr="007B403D">
              <w:trPr>
                <w:trHeight w:val="554"/>
              </w:trPr>
              <w:tc>
                <w:tcPr>
                  <w:tcW w:w="26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ind w:firstLine="182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1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D2712E" w:rsidRDefault="00E84974">
                  <w:pPr>
                    <w:widowControl w:val="0"/>
                    <w:ind w:left="127" w:right="83"/>
                  </w:pPr>
                  <w:r>
                    <w:t>Збереження існуючого стану</w:t>
                  </w:r>
                </w:p>
              </w:tc>
            </w:tr>
            <w:tr w:rsidR="00D2712E" w:rsidTr="007B403D">
              <w:trPr>
                <w:trHeight w:val="771"/>
              </w:trPr>
              <w:tc>
                <w:tcPr>
                  <w:tcW w:w="26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ind w:firstLine="182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2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 w:rsidP="00CB5ACF">
                  <w:pPr>
                    <w:widowControl w:val="0"/>
                    <w:ind w:left="127" w:right="83"/>
                  </w:pPr>
                  <w:r>
                    <w:t xml:space="preserve">Прийняти запропонований </w:t>
                  </w:r>
                  <w:proofErr w:type="spellStart"/>
                  <w:r>
                    <w:t>про</w:t>
                  </w:r>
                  <w:r w:rsidR="00CB5ACF">
                    <w:t>є</w:t>
                  </w:r>
                  <w:r>
                    <w:t>кт</w:t>
                  </w:r>
                  <w:proofErr w:type="spellEnd"/>
                  <w:r>
                    <w:t xml:space="preserve"> регуляторного акта</w:t>
                  </w:r>
                </w:p>
              </w:tc>
            </w:tr>
          </w:tbl>
          <w:p w:rsidR="00D2712E" w:rsidRDefault="00D2712E">
            <w:pPr>
              <w:widowControl w:val="0"/>
            </w:pPr>
          </w:p>
        </w:tc>
      </w:tr>
      <w:tr w:rsidR="00D2712E" w:rsidTr="00455DA2">
        <w:trPr>
          <w:trHeight w:val="1058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3а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center"/>
              <w:textAlignment w:val="baseline"/>
            </w:pPr>
            <w:r>
              <w:t>Оцінка вибраних альтернативних способів досягнення цілей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ind w:firstLine="450"/>
              <w:jc w:val="both"/>
              <w:textAlignment w:val="baseline"/>
            </w:pPr>
            <w:r>
              <w:t xml:space="preserve">Прийняття запропонованого </w:t>
            </w:r>
            <w:proofErr w:type="spellStart"/>
            <w:r>
              <w:t>проєкту</w:t>
            </w:r>
            <w:proofErr w:type="spellEnd"/>
            <w:r>
              <w:t xml:space="preserve"> регуляторного акта є найбільш прийнятним способом досягнення цілей регулювання.</w:t>
            </w:r>
          </w:p>
        </w:tc>
      </w:tr>
      <w:tr w:rsidR="00D2712E" w:rsidTr="00455DA2">
        <w:trPr>
          <w:trHeight w:val="546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3б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center"/>
              <w:textAlignment w:val="baseline"/>
            </w:pPr>
            <w:bookmarkStart w:id="1" w:name="n117"/>
            <w:bookmarkEnd w:id="1"/>
            <w:r>
              <w:t>Оцінка впливу на сферу інтересів держави (органу місцевого самоврядування)</w:t>
            </w:r>
          </w:p>
          <w:p w:rsidR="00D2712E" w:rsidRDefault="00D2712E">
            <w:pPr>
              <w:widowControl w:val="0"/>
              <w:ind w:firstLine="450"/>
              <w:textAlignment w:val="baseline"/>
              <w:rPr>
                <w:b/>
              </w:rPr>
            </w:pPr>
          </w:p>
          <w:p w:rsidR="00D2712E" w:rsidRDefault="00D2712E">
            <w:pPr>
              <w:widowControl w:val="0"/>
              <w:ind w:firstLine="450"/>
              <w:textAlignment w:val="baseline"/>
              <w:rPr>
                <w:b/>
              </w:rPr>
            </w:pPr>
          </w:p>
          <w:p w:rsidR="00D2712E" w:rsidRDefault="00D2712E">
            <w:pPr>
              <w:widowControl w:val="0"/>
              <w:ind w:firstLine="450"/>
              <w:textAlignment w:val="baseline"/>
              <w:rPr>
                <w:b/>
              </w:rPr>
            </w:pP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8055" w:type="dxa"/>
              <w:tblInd w:w="45" w:type="dxa"/>
              <w:tblLayout w:type="fixed"/>
              <w:tblCellMar>
                <w:left w:w="5" w:type="dxa"/>
                <w:right w:w="0" w:type="dxa"/>
              </w:tblCellMar>
              <w:tblLook w:val="04A0"/>
            </w:tblPr>
            <w:tblGrid>
              <w:gridCol w:w="2790"/>
              <w:gridCol w:w="2324"/>
              <w:gridCol w:w="2941"/>
            </w:tblGrid>
            <w:tr w:rsidR="00D2712E">
              <w:tc>
                <w:tcPr>
                  <w:tcW w:w="27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Вид альтернативи</w:t>
                  </w:r>
                </w:p>
              </w:tc>
              <w:tc>
                <w:tcPr>
                  <w:tcW w:w="23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Вигоди</w:t>
                  </w:r>
                </w:p>
              </w:tc>
              <w:tc>
                <w:tcPr>
                  <w:tcW w:w="29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Витрати</w:t>
                  </w:r>
                </w:p>
              </w:tc>
            </w:tr>
            <w:tr w:rsidR="00D2712E">
              <w:trPr>
                <w:trHeight w:val="417"/>
              </w:trPr>
              <w:tc>
                <w:tcPr>
                  <w:tcW w:w="27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1</w:t>
                  </w:r>
                </w:p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Збереження існуючого стану</w:t>
                  </w:r>
                </w:p>
                <w:p w:rsidR="00D2712E" w:rsidRDefault="00D2712E">
                  <w:pPr>
                    <w:widowControl w:val="0"/>
                    <w:spacing w:before="150" w:after="150"/>
                    <w:textAlignment w:val="baseline"/>
                  </w:pPr>
                </w:p>
              </w:tc>
              <w:tc>
                <w:tcPr>
                  <w:tcW w:w="23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D2712E">
                  <w:pPr>
                    <w:widowControl w:val="0"/>
                    <w:snapToGrid w:val="0"/>
                    <w:spacing w:before="150" w:after="150"/>
                    <w:jc w:val="center"/>
                    <w:textAlignment w:val="baseline"/>
                    <w:rPr>
                      <w:lang w:val="ru-RU"/>
                    </w:rPr>
                  </w:pPr>
                </w:p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відсутні</w:t>
                  </w:r>
                  <w:proofErr w:type="spellEnd"/>
                </w:p>
                <w:p w:rsidR="00D2712E" w:rsidRDefault="00D2712E">
                  <w:pPr>
                    <w:widowControl w:val="0"/>
                    <w:spacing w:before="150" w:after="150"/>
                    <w:jc w:val="both"/>
                    <w:textAlignment w:val="baseline"/>
                  </w:pPr>
                </w:p>
              </w:tc>
              <w:tc>
                <w:tcPr>
                  <w:tcW w:w="29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D2712E">
                  <w:pPr>
                    <w:widowControl w:val="0"/>
                    <w:ind w:right="480"/>
                  </w:pPr>
                </w:p>
                <w:p w:rsidR="00455DA2" w:rsidRDefault="002D31B0">
                  <w:pPr>
                    <w:widowControl w:val="0"/>
                    <w:ind w:right="480"/>
                  </w:pPr>
                  <w:r>
                    <w:t xml:space="preserve">Унеможливить забезпечити належний санітарний стан та благополуччя мешканців Луцької </w:t>
                  </w:r>
                  <w:r w:rsidR="00455DA2">
                    <w:t>міської територіальної громади</w:t>
                  </w:r>
                  <w:r w:rsidR="00E84974">
                    <w:t>.</w:t>
                  </w:r>
                </w:p>
              </w:tc>
            </w:tr>
            <w:tr w:rsidR="00D2712E">
              <w:tc>
                <w:tcPr>
                  <w:tcW w:w="27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2</w:t>
                  </w:r>
                </w:p>
                <w:p w:rsidR="00D2712E" w:rsidRDefault="00E84974" w:rsidP="00CB5ACF">
                  <w:pPr>
                    <w:widowControl w:val="0"/>
                    <w:spacing w:before="150" w:after="150"/>
                    <w:textAlignment w:val="baseline"/>
                  </w:pPr>
                  <w:r>
                    <w:t xml:space="preserve">Прийняти запропонований </w:t>
                  </w:r>
                  <w:proofErr w:type="spellStart"/>
                  <w:r>
                    <w:t>про</w:t>
                  </w:r>
                  <w:r w:rsidR="00CB5ACF">
                    <w:t>є</w:t>
                  </w:r>
                  <w:r>
                    <w:t>кт</w:t>
                  </w:r>
                  <w:proofErr w:type="spellEnd"/>
                  <w:r>
                    <w:t xml:space="preserve"> регуляторного акта</w:t>
                  </w:r>
                </w:p>
              </w:tc>
              <w:tc>
                <w:tcPr>
                  <w:tcW w:w="23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</w:pPr>
                  <w:r>
                    <w:t xml:space="preserve">1) </w:t>
                  </w:r>
                  <w:r w:rsidR="002D31B0">
                    <w:t>Проведення конкурсу на визначення виконавця послуг з вивезення побутових відходів відповідно до вимог законодавства</w:t>
                  </w:r>
                  <w:r>
                    <w:t>.</w:t>
                  </w:r>
                </w:p>
                <w:p w:rsidR="00D2712E" w:rsidRDefault="00E84974" w:rsidP="002D31B0">
                  <w:pPr>
                    <w:widowControl w:val="0"/>
                  </w:pPr>
                  <w:r>
                    <w:t xml:space="preserve">2) </w:t>
                  </w:r>
                  <w:r w:rsidR="002D31B0">
                    <w:t>Визначення виконавця послуг з вивезення побутових відходів на умовах конкуренції</w:t>
                  </w:r>
                  <w:r>
                    <w:rPr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29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D2712E">
                  <w:pPr>
                    <w:widowControl w:val="0"/>
                    <w:snapToGrid w:val="0"/>
                    <w:ind w:right="741"/>
                    <w:jc w:val="center"/>
                    <w:textAlignment w:val="baseline"/>
                  </w:pPr>
                </w:p>
                <w:p w:rsidR="00D2712E" w:rsidRDefault="00D2712E">
                  <w:pPr>
                    <w:widowControl w:val="0"/>
                    <w:snapToGrid w:val="0"/>
                    <w:ind w:right="741"/>
                    <w:jc w:val="center"/>
                    <w:textAlignment w:val="baseline"/>
                  </w:pPr>
                </w:p>
                <w:p w:rsidR="00D2712E" w:rsidRDefault="00D2712E">
                  <w:pPr>
                    <w:widowControl w:val="0"/>
                    <w:snapToGrid w:val="0"/>
                    <w:ind w:right="741"/>
                    <w:jc w:val="center"/>
                    <w:textAlignment w:val="baseline"/>
                  </w:pPr>
                </w:p>
                <w:p w:rsidR="00D2712E" w:rsidRDefault="00D2712E">
                  <w:pPr>
                    <w:widowControl w:val="0"/>
                    <w:snapToGrid w:val="0"/>
                    <w:ind w:right="741"/>
                    <w:jc w:val="center"/>
                    <w:textAlignment w:val="baseline"/>
                  </w:pPr>
                </w:p>
                <w:p w:rsidR="00D2712E" w:rsidRDefault="00D2712E">
                  <w:pPr>
                    <w:widowControl w:val="0"/>
                    <w:snapToGrid w:val="0"/>
                    <w:ind w:right="741"/>
                    <w:jc w:val="center"/>
                    <w:textAlignment w:val="baseline"/>
                  </w:pPr>
                </w:p>
                <w:p w:rsidR="00D2712E" w:rsidRDefault="00E84974">
                  <w:pPr>
                    <w:widowControl w:val="0"/>
                    <w:snapToGrid w:val="0"/>
                    <w:ind w:right="741"/>
                    <w:jc w:val="center"/>
                    <w:textAlignment w:val="baseline"/>
                  </w:pPr>
                  <w:r>
                    <w:t>відсутні</w:t>
                  </w:r>
                </w:p>
                <w:p w:rsidR="00D2712E" w:rsidRDefault="00D2712E">
                  <w:pPr>
                    <w:widowControl w:val="0"/>
                    <w:spacing w:before="150" w:after="150"/>
                    <w:ind w:right="741"/>
                    <w:textAlignment w:val="baseline"/>
                  </w:pPr>
                </w:p>
              </w:tc>
            </w:tr>
          </w:tbl>
          <w:p w:rsidR="00D2712E" w:rsidRDefault="00D2712E">
            <w:pPr>
              <w:widowControl w:val="0"/>
            </w:pPr>
          </w:p>
        </w:tc>
      </w:tr>
      <w:tr w:rsidR="00D2712E" w:rsidTr="00455DA2">
        <w:trPr>
          <w:trHeight w:val="1058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3в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textAlignment w:val="baseline"/>
            </w:pPr>
            <w:r>
              <w:t>Оцінка впливу на сферу інтересів громадян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9873" w:type="dxa"/>
              <w:tblInd w:w="34" w:type="dxa"/>
              <w:tblLayout w:type="fixed"/>
              <w:tblCellMar>
                <w:left w:w="5" w:type="dxa"/>
                <w:right w:w="0" w:type="dxa"/>
              </w:tblCellMar>
              <w:tblLook w:val="04A0"/>
            </w:tblPr>
            <w:tblGrid>
              <w:gridCol w:w="2836"/>
              <w:gridCol w:w="2295"/>
              <w:gridCol w:w="3150"/>
              <w:gridCol w:w="1592"/>
            </w:tblGrid>
            <w:tr w:rsidR="00D2712E" w:rsidTr="00BE030E"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Вид альтернативи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Вигоди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Витрати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D2712E">
                  <w:pPr>
                    <w:widowControl w:val="0"/>
                    <w:snapToGrid w:val="0"/>
                  </w:pPr>
                </w:p>
              </w:tc>
            </w:tr>
            <w:tr w:rsidR="00D2712E" w:rsidTr="00BE030E">
              <w:trPr>
                <w:trHeight w:val="1125"/>
              </w:trPr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Альтернатива 1</w:t>
                  </w:r>
                </w:p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Збереження існуючого стану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відсутні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A5304" w:rsidP="00C35144">
                  <w:pPr>
                    <w:widowControl w:val="0"/>
                    <w:spacing w:before="150" w:after="150"/>
                    <w:ind w:right="480"/>
                    <w:jc w:val="center"/>
                    <w:textAlignment w:val="baseline"/>
                  </w:pPr>
                  <w:r>
                    <w:t>Утворення стихійних сміттєзвалищ, поганий санітарний стан населених пунктів.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D2712E">
                  <w:pPr>
                    <w:widowControl w:val="0"/>
                    <w:ind w:right="480"/>
                    <w:jc w:val="center"/>
                  </w:pPr>
                </w:p>
              </w:tc>
            </w:tr>
            <w:tr w:rsidR="00D2712E" w:rsidTr="00BE030E"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2</w:t>
                  </w:r>
                </w:p>
                <w:p w:rsidR="00D2712E" w:rsidRDefault="00E84974" w:rsidP="00CB5ACF">
                  <w:pPr>
                    <w:widowControl w:val="0"/>
                    <w:spacing w:before="150" w:after="150"/>
                    <w:textAlignment w:val="baseline"/>
                  </w:pPr>
                  <w:r w:rsidRPr="00EA5304">
                    <w:rPr>
                      <w:color w:val="000000" w:themeColor="text1"/>
                    </w:rPr>
                    <w:t xml:space="preserve">Прийняти запропонований </w:t>
                  </w:r>
                  <w:proofErr w:type="spellStart"/>
                  <w:r w:rsidRPr="00EA5304">
                    <w:rPr>
                      <w:color w:val="000000" w:themeColor="text1"/>
                    </w:rPr>
                    <w:t>про</w:t>
                  </w:r>
                  <w:r w:rsidR="00CB5ACF">
                    <w:rPr>
                      <w:color w:val="000000" w:themeColor="text1"/>
                    </w:rPr>
                    <w:t>є</w:t>
                  </w:r>
                  <w:r w:rsidRPr="00EA5304">
                    <w:rPr>
                      <w:color w:val="000000" w:themeColor="text1"/>
                    </w:rPr>
                    <w:t>кт</w:t>
                  </w:r>
                  <w:proofErr w:type="spellEnd"/>
                  <w:r w:rsidRPr="00EA5304">
                    <w:rPr>
                      <w:color w:val="000000" w:themeColor="text1"/>
                    </w:rPr>
                    <w:t xml:space="preserve"> регуляторного акта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A5304" w:rsidP="00EA5304">
                  <w:pPr>
                    <w:widowControl w:val="0"/>
                    <w:jc w:val="center"/>
                    <w:textAlignment w:val="baseline"/>
                  </w:pPr>
                  <w:r>
                    <w:t xml:space="preserve">Забезпечення жителів </w:t>
                  </w:r>
                  <w:r w:rsidR="00E84974">
                    <w:t>Луцької міської територіальної громади</w:t>
                  </w:r>
                  <w:r>
                    <w:t xml:space="preserve"> якісними послугами з поводження з побутовими відходами</w:t>
                  </w:r>
                  <w:r w:rsidR="00E84974">
                    <w:t>.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D2712E" w:rsidRDefault="00E84974" w:rsidP="006D62D1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відсутні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D2712E">
                  <w:pPr>
                    <w:widowControl w:val="0"/>
                    <w:snapToGrid w:val="0"/>
                  </w:pPr>
                </w:p>
              </w:tc>
            </w:tr>
          </w:tbl>
          <w:p w:rsidR="00D2712E" w:rsidRDefault="00D2712E">
            <w:pPr>
              <w:widowControl w:val="0"/>
            </w:pPr>
          </w:p>
        </w:tc>
      </w:tr>
      <w:tr w:rsidR="00D2712E" w:rsidTr="00455DA2">
        <w:trPr>
          <w:trHeight w:val="1971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lastRenderedPageBreak/>
              <w:t>3г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center"/>
              <w:textAlignment w:val="baseline"/>
            </w:pPr>
            <w:r w:rsidRPr="00C60CDE">
              <w:t>Оцінка впливу на сферу інтересів</w:t>
            </w:r>
            <w:r w:rsidRPr="00744E6C">
              <w:t xml:space="preserve"> суб’єктів господарювання</w:t>
            </w:r>
          </w:p>
          <w:p w:rsidR="00D2712E" w:rsidRDefault="00D2712E">
            <w:pPr>
              <w:widowControl w:val="0"/>
              <w:ind w:firstLine="450"/>
              <w:jc w:val="both"/>
              <w:textAlignment w:val="baseline"/>
              <w:rPr>
                <w:b/>
              </w:rPr>
            </w:pP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7875" w:type="dxa"/>
              <w:tblLayout w:type="fixed"/>
              <w:tblCellMar>
                <w:left w:w="5" w:type="dxa"/>
                <w:right w:w="0" w:type="dxa"/>
              </w:tblCellMar>
              <w:tblLook w:val="04A0"/>
            </w:tblPr>
            <w:tblGrid>
              <w:gridCol w:w="2385"/>
              <w:gridCol w:w="1409"/>
              <w:gridCol w:w="1094"/>
              <w:gridCol w:w="1456"/>
              <w:gridCol w:w="1531"/>
            </w:tblGrid>
            <w:tr w:rsidR="00D2712E" w:rsidTr="000951D5">
              <w:tc>
                <w:tcPr>
                  <w:tcW w:w="23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Показник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Великі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Середні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Малі (в тому числі </w:t>
                  </w:r>
                  <w:proofErr w:type="spellStart"/>
                  <w:r>
                    <w:rPr>
                      <w:sz w:val="22"/>
                      <w:szCs w:val="22"/>
                      <w:lang w:eastAsia="ru-RU"/>
                    </w:rPr>
                    <w:t>мікро</w:t>
                  </w:r>
                  <w:proofErr w:type="spellEnd"/>
                  <w:r>
                    <w:rPr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Разом</w:t>
                  </w:r>
                </w:p>
              </w:tc>
            </w:tr>
            <w:tr w:rsidR="00D2712E" w:rsidTr="00BE030E">
              <w:trPr>
                <w:trHeight w:val="1204"/>
              </w:trPr>
              <w:tc>
                <w:tcPr>
                  <w:tcW w:w="23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Кількість суб’єктів господарювання, що підпадають під дію регулювання, одиниць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Pr="00BE030E" w:rsidRDefault="00A41109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  <w:r w:rsidRPr="00BE030E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Pr="00BE030E" w:rsidRDefault="00A41109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  <w:r w:rsidRPr="00BE030E"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Pr="00BE030E" w:rsidRDefault="007B403D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 w:rsidRPr="00BE030E">
                    <w:rPr>
                      <w:sz w:val="22"/>
                      <w:szCs w:val="22"/>
                      <w:lang w:eastAsia="ru-RU"/>
                    </w:rPr>
                    <w:t>0</w:t>
                  </w:r>
                </w:p>
                <w:p w:rsidR="00D2712E" w:rsidRPr="00BE030E" w:rsidRDefault="00D2712E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Pr="00BE030E" w:rsidRDefault="00BE030E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  <w:r w:rsidRPr="00BE030E">
                    <w:rPr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</w:tr>
            <w:tr w:rsidR="00D2712E" w:rsidTr="000951D5">
              <w:trPr>
                <w:trHeight w:val="1125"/>
              </w:trPr>
              <w:tc>
                <w:tcPr>
                  <w:tcW w:w="23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bookmarkStart w:id="2" w:name="__DdeLink__66_972478774"/>
                  <w:r>
                    <w:t>Питома вага групи у загальній кількості, відсотків</w:t>
                  </w:r>
                  <w:bookmarkEnd w:id="2"/>
                </w:p>
              </w:tc>
              <w:tc>
                <w:tcPr>
                  <w:tcW w:w="14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Pr="00BE030E" w:rsidRDefault="00BE030E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 w:rsidRPr="00BE030E">
                    <w:rPr>
                      <w:sz w:val="22"/>
                      <w:szCs w:val="22"/>
                      <w:lang w:eastAsia="ru-RU"/>
                    </w:rPr>
                    <w:t>28,6</w:t>
                  </w:r>
                  <w:r w:rsidR="00E84974" w:rsidRPr="00BE030E">
                    <w:rPr>
                      <w:sz w:val="22"/>
                      <w:szCs w:val="22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Pr="00BE030E" w:rsidRDefault="00BE030E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 w:rsidRPr="00BE030E">
                    <w:rPr>
                      <w:sz w:val="22"/>
                      <w:szCs w:val="22"/>
                      <w:lang w:eastAsia="ru-RU"/>
                    </w:rPr>
                    <w:t>71,4</w:t>
                  </w:r>
                  <w:r w:rsidR="00E84974" w:rsidRPr="00BE030E">
                    <w:rPr>
                      <w:sz w:val="22"/>
                      <w:szCs w:val="22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Pr="00BE030E" w:rsidRDefault="00BE030E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  <w:r w:rsidRPr="00BE030E">
                    <w:rPr>
                      <w:sz w:val="22"/>
                      <w:szCs w:val="22"/>
                      <w:lang w:eastAsia="ru-RU"/>
                    </w:rPr>
                    <w:t>0</w:t>
                  </w:r>
                  <w:r w:rsidR="00E84974" w:rsidRPr="00BE030E">
                    <w:rPr>
                      <w:sz w:val="22"/>
                      <w:szCs w:val="22"/>
                      <w:lang w:eastAsia="ru-RU"/>
                    </w:rPr>
                    <w:t xml:space="preserve"> %</w:t>
                  </w:r>
                </w:p>
                <w:p w:rsidR="00D2712E" w:rsidRPr="00BE030E" w:rsidRDefault="00D2712E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Pr="00BE030E" w:rsidRDefault="00A41109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 w:rsidRPr="00BE030E">
                    <w:rPr>
                      <w:sz w:val="22"/>
                      <w:szCs w:val="22"/>
                      <w:lang w:val="ru-RU" w:eastAsia="ru-RU"/>
                    </w:rPr>
                    <w:t>10</w:t>
                  </w:r>
                  <w:r w:rsidR="00E84974" w:rsidRPr="00BE030E">
                    <w:rPr>
                      <w:sz w:val="22"/>
                      <w:szCs w:val="22"/>
                      <w:lang w:val="ru-RU" w:eastAsia="ru-RU"/>
                    </w:rPr>
                    <w:t>0</w:t>
                  </w:r>
                  <w:r w:rsidR="00E84974" w:rsidRPr="00BE030E">
                    <w:rPr>
                      <w:sz w:val="22"/>
                      <w:szCs w:val="22"/>
                      <w:lang w:eastAsia="ru-RU"/>
                    </w:rPr>
                    <w:t>%</w:t>
                  </w:r>
                </w:p>
              </w:tc>
            </w:tr>
            <w:tr w:rsidR="00D2712E" w:rsidTr="00BE030E">
              <w:trPr>
                <w:trHeight w:val="475"/>
              </w:trPr>
              <w:tc>
                <w:tcPr>
                  <w:tcW w:w="23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bookmarkStart w:id="3" w:name="n143"/>
                  <w:bookmarkEnd w:id="3"/>
                  <w:r>
                    <w:t>Вид альтернативи</w:t>
                  </w:r>
                </w:p>
              </w:tc>
              <w:tc>
                <w:tcPr>
                  <w:tcW w:w="250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Вигоди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Витрати</w:t>
                  </w:r>
                </w:p>
              </w:tc>
            </w:tr>
            <w:tr w:rsidR="00D2712E" w:rsidTr="000951D5">
              <w:trPr>
                <w:trHeight w:val="698"/>
              </w:trPr>
              <w:tc>
                <w:tcPr>
                  <w:tcW w:w="23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1</w:t>
                  </w:r>
                </w:p>
                <w:p w:rsidR="00D2712E" w:rsidRDefault="00E84974">
                  <w:pPr>
                    <w:widowControl w:val="0"/>
                    <w:textAlignment w:val="baseline"/>
                  </w:pPr>
                  <w:r>
                    <w:t>Збереження</w:t>
                  </w:r>
                </w:p>
                <w:p w:rsidR="00D2712E" w:rsidRDefault="00E84974">
                  <w:pPr>
                    <w:widowControl w:val="0"/>
                    <w:textAlignment w:val="baseline"/>
                  </w:pPr>
                  <w:r>
                    <w:t>існуючого стану</w:t>
                  </w:r>
                </w:p>
              </w:tc>
              <w:tc>
                <w:tcPr>
                  <w:tcW w:w="250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D2712E" w:rsidRDefault="00744E6C" w:rsidP="00744E6C">
                  <w:pPr>
                    <w:widowControl w:val="0"/>
                    <w:jc w:val="center"/>
                    <w:textAlignment w:val="baseline"/>
                  </w:pPr>
                  <w:r>
                    <w:rPr>
                      <w:color w:val="000000"/>
                    </w:rPr>
                    <w:t>Відсутні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D2712E" w:rsidRDefault="00A41109" w:rsidP="00744E6C">
                  <w:pPr>
                    <w:widowControl w:val="0"/>
                    <w:jc w:val="center"/>
                    <w:textAlignment w:val="baseline"/>
                  </w:pPr>
                  <w:r>
                    <w:rPr>
                      <w:color w:val="000000"/>
                    </w:rPr>
                    <w:t>Неможливість суб’єктів господарювання взяти участь</w:t>
                  </w:r>
                  <w:r w:rsidR="000951D5">
                    <w:rPr>
                      <w:color w:val="000000"/>
                    </w:rPr>
                    <w:t xml:space="preserve"> у конкурсі</w:t>
                  </w:r>
                  <w:r>
                    <w:rPr>
                      <w:color w:val="000000"/>
                    </w:rPr>
                    <w:t xml:space="preserve"> на визначення виконавця послуг з вивезення побутових відходів </w:t>
                  </w:r>
                  <w:r w:rsidR="00895950">
                    <w:rPr>
                      <w:color w:val="000000"/>
                    </w:rPr>
                    <w:t>на території Луцької міської територіальної громади</w:t>
                  </w:r>
                  <w:r w:rsidR="003231CF">
                    <w:rPr>
                      <w:color w:val="000000"/>
                    </w:rPr>
                    <w:t>.</w:t>
                  </w:r>
                </w:p>
              </w:tc>
            </w:tr>
            <w:tr w:rsidR="00D2712E" w:rsidTr="000951D5">
              <w:trPr>
                <w:trHeight w:val="1458"/>
              </w:trPr>
              <w:tc>
                <w:tcPr>
                  <w:tcW w:w="23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2</w:t>
                  </w:r>
                </w:p>
                <w:p w:rsidR="00D2712E" w:rsidRDefault="00E84974" w:rsidP="00CB5ACF">
                  <w:pPr>
                    <w:widowControl w:val="0"/>
                    <w:textAlignment w:val="baseline"/>
                  </w:pPr>
                  <w:r>
                    <w:t xml:space="preserve">Прийняти запропонований </w:t>
                  </w:r>
                  <w:proofErr w:type="spellStart"/>
                  <w:r>
                    <w:t>про</w:t>
                  </w:r>
                  <w:r w:rsidR="00CB5ACF">
                    <w:t>є</w:t>
                  </w:r>
                  <w:r>
                    <w:t>кт</w:t>
                  </w:r>
                  <w:proofErr w:type="spellEnd"/>
                  <w:r>
                    <w:t xml:space="preserve"> регуляторного акта</w:t>
                  </w:r>
                </w:p>
              </w:tc>
              <w:tc>
                <w:tcPr>
                  <w:tcW w:w="250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:rsidR="00D2712E" w:rsidRDefault="003231CF" w:rsidP="00744E6C">
                  <w:pPr>
                    <w:widowControl w:val="0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Забезпечення визначення виконавця послуг з вивезення побутових відходів на території Луцької міської територіальної громади на конкурсних засадах.</w:t>
                  </w:r>
                </w:p>
                <w:p w:rsidR="003231CF" w:rsidRDefault="000951D5" w:rsidP="000951D5">
                  <w:pPr>
                    <w:widowControl w:val="0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 переможцем конкурсу укладається договір на надання послуг з вивезення побутових відходів від 1 (одного) року у разі забезпечення конкуренції.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D2712E" w:rsidRPr="007B403D" w:rsidRDefault="003231CF" w:rsidP="00744E6C">
                  <w:pPr>
                    <w:widowControl w:val="0"/>
                    <w:jc w:val="center"/>
                    <w:rPr>
                      <w:color w:val="auto"/>
                    </w:rPr>
                  </w:pPr>
                  <w:r w:rsidRPr="007B403D">
                    <w:rPr>
                      <w:color w:val="auto"/>
                    </w:rPr>
                    <w:t>Підготовка суб’єктами господарювання необхідного переліку документів відповідно до конкурсної документації.</w:t>
                  </w:r>
                </w:p>
                <w:p w:rsidR="00D2712E" w:rsidRDefault="00D2712E" w:rsidP="00744E6C">
                  <w:pPr>
                    <w:widowControl w:val="0"/>
                    <w:jc w:val="center"/>
                  </w:pPr>
                </w:p>
              </w:tc>
            </w:tr>
          </w:tbl>
          <w:p w:rsidR="00D2712E" w:rsidRDefault="00D2712E">
            <w:pPr>
              <w:widowControl w:val="0"/>
            </w:pPr>
          </w:p>
        </w:tc>
      </w:tr>
      <w:tr w:rsidR="00D2712E" w:rsidTr="00455DA2">
        <w:trPr>
          <w:trHeight w:val="1402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lastRenderedPageBreak/>
              <w:t>3д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textAlignment w:val="baseline"/>
            </w:pPr>
            <w:r>
              <w:t>Під час проведення оцінки впливу на сферу інтересів суб’єктів господарювання великого і середнього підприємництва окремо кількісно визначити витрати, які будуть виникати внаслідок дії регуляторного акта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8055" w:type="dxa"/>
              <w:tblLayout w:type="fixed"/>
              <w:tblCellMar>
                <w:left w:w="5" w:type="dxa"/>
                <w:right w:w="0" w:type="dxa"/>
              </w:tblCellMar>
              <w:tblLook w:val="04A0"/>
            </w:tblPr>
            <w:tblGrid>
              <w:gridCol w:w="4888"/>
              <w:gridCol w:w="3167"/>
            </w:tblGrid>
            <w:tr w:rsidR="00D2712E" w:rsidTr="000951D5">
              <w:tc>
                <w:tcPr>
                  <w:tcW w:w="4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Сумарні витрати за альтернативами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6F6EF0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 xml:space="preserve">Сума витрат, </w:t>
                  </w:r>
                  <w:proofErr w:type="spellStart"/>
                  <w:r>
                    <w:t>грн</w:t>
                  </w:r>
                  <w:proofErr w:type="spellEnd"/>
                </w:p>
              </w:tc>
            </w:tr>
            <w:tr w:rsidR="00D2712E" w:rsidTr="008F7873">
              <w:tc>
                <w:tcPr>
                  <w:tcW w:w="4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ind w:left="178" w:right="124"/>
                    <w:textAlignment w:val="baseline"/>
                  </w:pPr>
                  <w:r>
                    <w:t>Альтернатива 1. Сумарні витрати для суб’єктів господарювання великого і середнього підприємництва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D2712E" w:rsidRPr="008F7873" w:rsidRDefault="008F7873" w:rsidP="008F7873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highlight w:val="yellow"/>
                    </w:rPr>
                  </w:pPr>
                  <w:r w:rsidRPr="006F6EF0">
                    <w:rPr>
                      <w:color w:val="000000"/>
                    </w:rPr>
                    <w:t>420,50</w:t>
                  </w:r>
                </w:p>
              </w:tc>
            </w:tr>
            <w:tr w:rsidR="00D2712E" w:rsidTr="008F7873">
              <w:tc>
                <w:tcPr>
                  <w:tcW w:w="488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ind w:left="178" w:right="124"/>
                    <w:textAlignment w:val="baseline"/>
                  </w:pPr>
                  <w:r>
                    <w:t>Альтернатива 2. Сумарні витрати для суб’єктів господарювання великого і середнього підприємництва</w:t>
                  </w:r>
                </w:p>
              </w:tc>
              <w:tc>
                <w:tcPr>
                  <w:tcW w:w="31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D2712E" w:rsidRPr="006F6EF0" w:rsidRDefault="008F7873" w:rsidP="008F7873">
                  <w:pPr>
                    <w:widowControl w:val="0"/>
                    <w:spacing w:before="150" w:after="150"/>
                    <w:jc w:val="center"/>
                    <w:textAlignment w:val="baseline"/>
                    <w:rPr>
                      <w:color w:val="000000"/>
                      <w:highlight w:val="yellow"/>
                    </w:rPr>
                  </w:pPr>
                  <w:r w:rsidRPr="006F6EF0">
                    <w:rPr>
                      <w:color w:val="000000"/>
                    </w:rPr>
                    <w:t>442,50</w:t>
                  </w:r>
                </w:p>
              </w:tc>
            </w:tr>
          </w:tbl>
          <w:p w:rsidR="00D2712E" w:rsidRDefault="00D2712E">
            <w:pPr>
              <w:widowControl w:val="0"/>
              <w:rPr>
                <w:bCs/>
                <w:color w:val="000000"/>
              </w:rPr>
            </w:pPr>
          </w:p>
          <w:p w:rsidR="00D2712E" w:rsidRDefault="00D2712E">
            <w:pPr>
              <w:widowControl w:val="0"/>
              <w:rPr>
                <w:bCs/>
                <w:color w:val="000000"/>
              </w:rPr>
            </w:pPr>
          </w:p>
          <w:p w:rsidR="00D2712E" w:rsidRDefault="00D2712E">
            <w:pPr>
              <w:widowControl w:val="0"/>
              <w:rPr>
                <w:bCs/>
                <w:color w:val="000000"/>
              </w:rPr>
            </w:pPr>
          </w:p>
          <w:p w:rsidR="00D2712E" w:rsidRDefault="00D2712E">
            <w:pPr>
              <w:widowControl w:val="0"/>
              <w:rPr>
                <w:bCs/>
                <w:color w:val="000000"/>
              </w:rPr>
            </w:pPr>
          </w:p>
        </w:tc>
      </w:tr>
      <w:tr w:rsidR="00D2712E" w:rsidTr="00455DA2">
        <w:trPr>
          <w:trHeight w:val="154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center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textAlignment w:val="baseline"/>
              <w:rPr>
                <w:bCs/>
                <w:color w:val="000000"/>
              </w:rPr>
            </w:pPr>
            <w:r w:rsidRPr="00C60CDE">
              <w:rPr>
                <w:bCs/>
                <w:color w:val="000000"/>
              </w:rPr>
              <w:t>Вибір найбільш оптимального альтернативного способу досягнення цілей</w:t>
            </w:r>
          </w:p>
          <w:p w:rsidR="00D2712E" w:rsidRDefault="00D2712E">
            <w:pPr>
              <w:widowControl w:val="0"/>
              <w:textAlignment w:val="baseline"/>
              <w:rPr>
                <w:bCs/>
                <w:color w:val="000000"/>
              </w:rPr>
            </w:pPr>
          </w:p>
          <w:p w:rsidR="00D2712E" w:rsidRDefault="00D2712E">
            <w:pPr>
              <w:widowControl w:val="0"/>
              <w:textAlignment w:val="baseline"/>
              <w:rPr>
                <w:bCs/>
                <w:color w:val="000000"/>
              </w:rPr>
            </w:pPr>
          </w:p>
          <w:p w:rsidR="00D2712E" w:rsidRDefault="00D2712E">
            <w:pPr>
              <w:widowControl w:val="0"/>
              <w:textAlignment w:val="baseline"/>
              <w:rPr>
                <w:bCs/>
                <w:color w:val="000000"/>
              </w:rPr>
            </w:pP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7875" w:type="dxa"/>
              <w:tblLayout w:type="fixed"/>
              <w:tblCellMar>
                <w:left w:w="5" w:type="dxa"/>
                <w:right w:w="0" w:type="dxa"/>
              </w:tblCellMar>
              <w:tblLook w:val="04A0"/>
            </w:tblPr>
            <w:tblGrid>
              <w:gridCol w:w="2207"/>
              <w:gridCol w:w="2728"/>
              <w:gridCol w:w="1091"/>
              <w:gridCol w:w="1849"/>
            </w:tblGrid>
            <w:tr w:rsidR="00D2712E"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Рейтинг результативності (досягнення цілей під час вирішення проблеми)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Бал результативності (за чотирибальною системою оцінки)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ind w:right="510"/>
                    <w:jc w:val="center"/>
                    <w:textAlignment w:val="baseline"/>
                  </w:pPr>
                  <w:r>
                    <w:t>Коментарі щодо присвоєння відповідного бала</w:t>
                  </w:r>
                </w:p>
              </w:tc>
            </w:tr>
            <w:tr w:rsidR="00D2712E"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1</w:t>
                  </w:r>
                </w:p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Збереження існуючого стану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D2712E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</w:p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1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 w:rsidP="00744E6C">
                  <w:pPr>
                    <w:widowControl w:val="0"/>
                    <w:spacing w:before="150" w:after="150"/>
                    <w:ind w:right="567"/>
                    <w:textAlignment w:val="baseline"/>
                  </w:pPr>
                  <w:r>
                    <w:rPr>
                      <w:color w:val="000000"/>
                      <w:szCs w:val="28"/>
                    </w:rPr>
                    <w:t xml:space="preserve">Неможливість </w:t>
                  </w:r>
                  <w:r w:rsidR="00744E6C">
                    <w:rPr>
                      <w:color w:val="000000"/>
                      <w:szCs w:val="28"/>
                    </w:rPr>
                    <w:t xml:space="preserve">провести конкурс на визначення виконавця </w:t>
                  </w:r>
                  <w:r w:rsidR="00A04D18" w:rsidRPr="00A04D18">
                    <w:rPr>
                      <w:color w:val="000000"/>
                      <w:szCs w:val="28"/>
                    </w:rPr>
                    <w:t>з вивезення побутових відходів</w:t>
                  </w:r>
                </w:p>
              </w:tc>
            </w:tr>
            <w:tr w:rsidR="00D2712E"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2</w:t>
                  </w:r>
                </w:p>
                <w:p w:rsidR="00D2712E" w:rsidRDefault="00E84974" w:rsidP="00CB5ACF">
                  <w:pPr>
                    <w:widowControl w:val="0"/>
                    <w:spacing w:before="150" w:after="150"/>
                    <w:textAlignment w:val="baseline"/>
                  </w:pPr>
                  <w:r>
                    <w:t xml:space="preserve">Прийняти запропонований </w:t>
                  </w:r>
                  <w:proofErr w:type="spellStart"/>
                  <w:r>
                    <w:t>про</w:t>
                  </w:r>
                  <w:r w:rsidR="00CB5ACF">
                    <w:t>є</w:t>
                  </w:r>
                  <w:r>
                    <w:t>кт</w:t>
                  </w:r>
                  <w:proofErr w:type="spellEnd"/>
                  <w:r>
                    <w:t xml:space="preserve"> регуляторного акта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D2712E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</w:p>
                <w:p w:rsidR="00D2712E" w:rsidRDefault="00D2712E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</w:p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4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C60CDE">
                  <w:pPr>
                    <w:widowControl w:val="0"/>
                    <w:spacing w:before="150" w:after="150"/>
                    <w:ind w:right="454"/>
                    <w:textAlignment w:val="baseline"/>
                  </w:pPr>
                  <w:r w:rsidRPr="00C60CDE">
                    <w:t>Проведення конкурсу на визначення виконавця послуг з вивезення побутових відходів відповідно до вимог законодавства</w:t>
                  </w:r>
                </w:p>
              </w:tc>
            </w:tr>
            <w:tr w:rsidR="00D2712E" w:rsidTr="008754A5">
              <w:trPr>
                <w:trHeight w:val="1355"/>
              </w:trPr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bookmarkStart w:id="4" w:name="n159"/>
                  <w:bookmarkEnd w:id="4"/>
                  <w:r>
                    <w:t>Рейтинг результативності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Вигоди (підсумок)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Витрати (підсумок)</w:t>
                  </w:r>
                </w:p>
              </w:tc>
              <w:tc>
                <w:tcPr>
                  <w:tcW w:w="1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ind w:right="113"/>
                    <w:jc w:val="center"/>
                    <w:textAlignment w:val="baseline"/>
                  </w:pPr>
                  <w:r>
                    <w:t>Обґрунтування відповідного місця альтернативи у рейтингу</w:t>
                  </w:r>
                </w:p>
              </w:tc>
            </w:tr>
            <w:tr w:rsidR="00D2712E" w:rsidTr="008754A5">
              <w:trPr>
                <w:trHeight w:val="1382"/>
              </w:trPr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1</w:t>
                  </w:r>
                </w:p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Збереження існуючого стану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rPr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1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2-ге місце</w:t>
                  </w:r>
                </w:p>
              </w:tc>
            </w:tr>
            <w:tr w:rsidR="00D2712E" w:rsidTr="008754A5"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Альтернатива 2</w:t>
                  </w:r>
                </w:p>
                <w:p w:rsidR="00D2712E" w:rsidRDefault="00E84974" w:rsidP="00CB5ACF">
                  <w:pPr>
                    <w:widowControl w:val="0"/>
                    <w:spacing w:before="150" w:after="150"/>
                    <w:textAlignment w:val="baseline"/>
                  </w:pPr>
                  <w:r>
                    <w:t xml:space="preserve">Прийняти запропонований </w:t>
                  </w:r>
                  <w:proofErr w:type="spellStart"/>
                  <w:r>
                    <w:t>про</w:t>
                  </w:r>
                  <w:r w:rsidR="00CB5ACF">
                    <w:t>є</w:t>
                  </w:r>
                  <w:r>
                    <w:t>кт</w:t>
                  </w:r>
                  <w:proofErr w:type="spellEnd"/>
                  <w:r>
                    <w:t xml:space="preserve"> регуляторного акта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8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1-ше місце</w:t>
                  </w:r>
                </w:p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Даний альтернативний спосіб є найбільш придатним для вирішення проблеми тому</w:t>
                  </w:r>
                  <w:r>
                    <w:rPr>
                      <w:lang w:val="ru-RU"/>
                    </w:rPr>
                    <w:t>,</w:t>
                  </w:r>
                  <w:r>
                    <w:t xml:space="preserve"> щ</w:t>
                  </w:r>
                  <w:r w:rsidR="008754A5">
                    <w:t xml:space="preserve">о при прийнятті </w:t>
                  </w:r>
                  <w:proofErr w:type="spellStart"/>
                  <w:r w:rsidR="008754A5">
                    <w:t>запропонованого</w:t>
                  </w:r>
                  <w:r>
                    <w:t>проєкту</w:t>
                  </w:r>
                  <w:proofErr w:type="spellEnd"/>
                  <w:r>
                    <w:t xml:space="preserve"> регуляторного акта буде досягнуто визначених цілей.</w:t>
                  </w:r>
                </w:p>
              </w:tc>
            </w:tr>
            <w:tr w:rsidR="00D2712E"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Рейтинг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Аргументи щодо переваги обраної альтернативи/причини відмови від альтернативи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Оцінка ризику зовнішніх чинників на дію запропонованого регуляторного акта</w:t>
                  </w:r>
                </w:p>
              </w:tc>
            </w:tr>
            <w:tr w:rsidR="00D2712E"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1</w:t>
                  </w:r>
                </w:p>
                <w:p w:rsidR="00D2712E" w:rsidRDefault="00E84974">
                  <w:pPr>
                    <w:widowControl w:val="0"/>
                    <w:spacing w:before="150" w:after="150"/>
                    <w:textAlignment w:val="baseline"/>
                  </w:pPr>
                  <w:r>
                    <w:t>Збереження існуючого стану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Перший альтернативний спосіб не зможе забезпечити досягнення поставлених цілей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ind w:left="212"/>
                    <w:jc w:val="center"/>
                  </w:pPr>
                  <w:r>
                    <w:t>Х</w:t>
                  </w:r>
                </w:p>
              </w:tc>
            </w:tr>
            <w:tr w:rsidR="00D2712E">
              <w:tc>
                <w:tcPr>
                  <w:tcW w:w="22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Альтернатива 2</w:t>
                  </w:r>
                </w:p>
                <w:p w:rsidR="00D2712E" w:rsidRDefault="00E84974" w:rsidP="00CB5ACF">
                  <w:pPr>
                    <w:widowControl w:val="0"/>
                    <w:spacing w:before="150" w:after="150"/>
                    <w:textAlignment w:val="baseline"/>
                  </w:pPr>
                  <w:r>
                    <w:t xml:space="preserve">Прийняти запропонований </w:t>
                  </w:r>
                  <w:proofErr w:type="spellStart"/>
                  <w:r>
                    <w:t>про</w:t>
                  </w:r>
                  <w:r w:rsidR="00CB5ACF">
                    <w:t>є</w:t>
                  </w:r>
                  <w:r>
                    <w:t>кт</w:t>
                  </w:r>
                  <w:proofErr w:type="spellEnd"/>
                  <w:r>
                    <w:t xml:space="preserve"> регуляторного акта</w:t>
                  </w:r>
                </w:p>
              </w:tc>
              <w:tc>
                <w:tcPr>
                  <w:tcW w:w="27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Причини для відмови від альтернативи відсутні. Обрана альтернатива є найбільш раціональним варіантом щодо врахування інтересів всіх основних груп, на яких проблема справляє вплив.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pacing w:before="150" w:after="150"/>
                    <w:jc w:val="center"/>
                    <w:textAlignment w:val="baseline"/>
                  </w:pPr>
                  <w:r>
                    <w:t>Х</w:t>
                  </w:r>
                </w:p>
              </w:tc>
            </w:tr>
          </w:tbl>
          <w:p w:rsidR="00D2712E" w:rsidRDefault="00D2712E">
            <w:pPr>
              <w:widowControl w:val="0"/>
            </w:pPr>
          </w:p>
        </w:tc>
      </w:tr>
      <w:tr w:rsidR="00D2712E" w:rsidTr="00455DA2">
        <w:trPr>
          <w:trHeight w:val="1806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lastRenderedPageBreak/>
              <w:t>5.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</w:pPr>
            <w:r>
              <w:t xml:space="preserve">Механізми та заходи, які забезпечать </w:t>
            </w:r>
            <w:proofErr w:type="spellStart"/>
            <w:r>
              <w:t>розв</w:t>
            </w:r>
            <w:proofErr w:type="spellEnd"/>
            <w:r>
              <w:rPr>
                <w:lang w:val="ru-RU"/>
              </w:rPr>
              <w:t>’</w:t>
            </w:r>
            <w:proofErr w:type="spellStart"/>
            <w:r>
              <w:t>язання</w:t>
            </w:r>
            <w:proofErr w:type="spellEnd"/>
            <w:r>
              <w:t xml:space="preserve"> визначеної проблеми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712E" w:rsidRDefault="00E84974" w:rsidP="00277723">
            <w:pPr>
              <w:widowControl w:val="0"/>
              <w:jc w:val="both"/>
            </w:pPr>
            <w:r>
              <w:t xml:space="preserve">   Даним </w:t>
            </w:r>
            <w:proofErr w:type="spellStart"/>
            <w:r>
              <w:t>проєктом</w:t>
            </w:r>
            <w:proofErr w:type="spellEnd"/>
            <w:r>
              <w:t xml:space="preserve"> регуляторного акту удосконалюється Порядок </w:t>
            </w:r>
            <w:r w:rsidR="00277723" w:rsidRPr="00277723">
              <w:t>та умови проведення конкурсу щодо визначення виконавця послуг з</w:t>
            </w:r>
            <w:r w:rsidR="00277723">
              <w:t xml:space="preserve"> вивезення побутових відходів на території </w:t>
            </w:r>
            <w:r>
              <w:rPr>
                <w:color w:val="000000"/>
                <w:szCs w:val="28"/>
              </w:rPr>
              <w:t>Луцької міської територіальної громади.</w:t>
            </w:r>
          </w:p>
        </w:tc>
      </w:tr>
      <w:tr w:rsidR="00D2712E" w:rsidTr="00455DA2">
        <w:trPr>
          <w:trHeight w:val="1453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6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Оцінка виконання вимог регуляторного акта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35144" w:rsidRPr="003E0930" w:rsidRDefault="00E84974" w:rsidP="00A71C53">
            <w:pPr>
              <w:widowControl w:val="0"/>
              <w:shd w:val="clear" w:color="auto" w:fill="FFFFFF"/>
              <w:jc w:val="both"/>
            </w:pPr>
            <w:r>
              <w:t xml:space="preserve">   Витрати на виконання вимог регуляторного акта для департаменту </w:t>
            </w:r>
            <w:r w:rsidR="00277723" w:rsidRPr="003E0930">
              <w:t xml:space="preserve">житлово-комунального господарства </w:t>
            </w:r>
            <w:r w:rsidR="00A71C53" w:rsidRPr="003E0930">
              <w:t>Луцької міської ради відсутні.</w:t>
            </w:r>
          </w:p>
          <w:p w:rsidR="00A71C53" w:rsidRPr="00A71C53" w:rsidRDefault="00A71C53" w:rsidP="003E0930">
            <w:pPr>
              <w:widowControl w:val="0"/>
              <w:shd w:val="clear" w:color="auto" w:fill="FFFFFF"/>
              <w:jc w:val="both"/>
            </w:pPr>
            <w:r w:rsidRPr="003E0930">
              <w:t xml:space="preserve"> Сумарні витрати для суб’єктів малого підприємництва на виконання вимог регулювання </w:t>
            </w:r>
            <w:r w:rsidR="003E0930" w:rsidRPr="003E0930">
              <w:t xml:space="preserve">визначені відповідно </w:t>
            </w:r>
            <w:r w:rsidR="008F7873">
              <w:t xml:space="preserve">до </w:t>
            </w:r>
            <w:r w:rsidR="003E0930" w:rsidRPr="003E0930">
              <w:t>Додатку №2 Методики проведення аналізу впливу регуляторного акта.</w:t>
            </w:r>
          </w:p>
        </w:tc>
      </w:tr>
      <w:tr w:rsidR="00D2712E" w:rsidTr="00455DA2">
        <w:trPr>
          <w:trHeight w:val="972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lastRenderedPageBreak/>
              <w:t>7.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Обґрунтування запропонованого строку дії регуляторного акта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shd w:val="clear" w:color="auto" w:fill="FFFFFF"/>
              <w:jc w:val="both"/>
            </w:pPr>
            <w:r>
              <w:rPr>
                <w:lang w:eastAsia="ru-RU"/>
              </w:rPr>
              <w:t xml:space="preserve">   Дія регуляторного акта запроваджується до прийняття нового акта органом місцевого самоврядування або зміни чинного законодавства України</w:t>
            </w:r>
            <w:r>
              <w:t>.</w:t>
            </w:r>
          </w:p>
        </w:tc>
      </w:tr>
      <w:tr w:rsidR="00D2712E" w:rsidTr="00455DA2">
        <w:trPr>
          <w:trHeight w:val="2815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8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</w:pPr>
            <w:r>
              <w:t>Визначення показників результативності акта</w:t>
            </w:r>
          </w:p>
          <w:p w:rsidR="00D2712E" w:rsidRDefault="00D2712E">
            <w:pPr>
              <w:widowControl w:val="0"/>
            </w:pPr>
          </w:p>
          <w:p w:rsidR="00D2712E" w:rsidRDefault="00D2712E">
            <w:pPr>
              <w:widowControl w:val="0"/>
              <w:rPr>
                <w:i/>
              </w:rPr>
            </w:pP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8220" w:type="dxa"/>
              <w:tblInd w:w="1" w:type="dxa"/>
              <w:tblLayout w:type="fixed"/>
              <w:tblCellMar>
                <w:left w:w="63" w:type="dxa"/>
              </w:tblCellMar>
              <w:tblLook w:val="04A0"/>
            </w:tblPr>
            <w:tblGrid>
              <w:gridCol w:w="2956"/>
              <w:gridCol w:w="1755"/>
              <w:gridCol w:w="1815"/>
              <w:gridCol w:w="1694"/>
            </w:tblGrid>
            <w:tr w:rsidR="00D2712E">
              <w:tc>
                <w:tcPr>
                  <w:tcW w:w="8219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:rsidR="00D2712E" w:rsidRDefault="00E84974">
                  <w:pPr>
                    <w:widowControl w:val="0"/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Прогнозними значеннями показників результативності</w:t>
                  </w:r>
                </w:p>
                <w:p w:rsidR="00D2712E" w:rsidRDefault="00E84974">
                  <w:pPr>
                    <w:widowControl w:val="0"/>
                    <w:shd w:val="clear" w:color="auto" w:fill="FFFF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регуляторного акта є:</w:t>
                  </w:r>
                </w:p>
              </w:tc>
            </w:tr>
            <w:tr w:rsidR="00D2712E" w:rsidTr="00A9056F">
              <w:trPr>
                <w:trHeight w:val="346"/>
              </w:trPr>
              <w:tc>
                <w:tcPr>
                  <w:tcW w:w="29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</w:rPr>
                    <w:t>Показник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2021 рік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рік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 рік</w:t>
                  </w:r>
                </w:p>
              </w:tc>
            </w:tr>
            <w:tr w:rsidR="00D2712E" w:rsidTr="00A9056F">
              <w:tc>
                <w:tcPr>
                  <w:tcW w:w="29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 xml:space="preserve">Розмір  надходжень  до   бюджету  </w:t>
                  </w:r>
                  <w:r w:rsidR="00CB5ACF">
                    <w:rPr>
                      <w:sz w:val="22"/>
                      <w:szCs w:val="22"/>
                    </w:rPr>
                    <w:t>пов'язаних з дією акта (</w:t>
                  </w:r>
                  <w:proofErr w:type="spellStart"/>
                  <w:r w:rsidR="00CB5ACF">
                    <w:rPr>
                      <w:sz w:val="22"/>
                      <w:szCs w:val="22"/>
                    </w:rPr>
                    <w:t>тис.грн</w:t>
                  </w:r>
                  <w:proofErr w:type="spell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277723" w:rsidP="00A9056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277723" w:rsidP="00A9056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277723" w:rsidP="00A9056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D2712E" w:rsidTr="00A9056F">
              <w:trPr>
                <w:trHeight w:val="1080"/>
              </w:trPr>
              <w:tc>
                <w:tcPr>
                  <w:tcW w:w="29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Кількість суб'єктів господарювання  на яких поширюватиметься дія акта (шт.)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Pr="00A9056F" w:rsidRDefault="00BE030E" w:rsidP="00A9056F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Pr="00D22B3A" w:rsidRDefault="00BE030E" w:rsidP="00A9056F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Pr="00277723" w:rsidRDefault="00BE030E" w:rsidP="00A9056F">
                  <w:pPr>
                    <w:widowControl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D2712E" w:rsidTr="00A9056F">
              <w:trPr>
                <w:trHeight w:val="1635"/>
              </w:trPr>
              <w:tc>
                <w:tcPr>
                  <w:tcW w:w="29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Час, що витрачається суб'єктами господарювання та/або фізичними особами, пов'язаними з виконанням вимог акта  год.</w:t>
                  </w:r>
                  <w:r>
                    <w:rPr>
                      <w:sz w:val="22"/>
                      <w:szCs w:val="22"/>
                      <w:lang w:val="ru-RU"/>
                    </w:rPr>
                    <w:t>:</w:t>
                  </w:r>
                </w:p>
                <w:p w:rsidR="00D2712E" w:rsidRDefault="00E84974">
                  <w:pPr>
                    <w:widowControl w:val="0"/>
                  </w:pPr>
                  <w:r>
                    <w:rPr>
                      <w:b/>
                      <w:sz w:val="22"/>
                      <w:szCs w:val="22"/>
                    </w:rPr>
                    <w:t>для 1-ого СПД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D22B3A" w:rsidP="00A9056F">
                  <w:pPr>
                    <w:widowControl w:val="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Pr="00277723" w:rsidRDefault="00D22B3A" w:rsidP="00A9056F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D22B3A" w:rsidP="00A9056F">
                  <w:pPr>
                    <w:widowControl w:val="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D2712E" w:rsidTr="00A9056F">
              <w:trPr>
                <w:trHeight w:val="1408"/>
              </w:trPr>
              <w:tc>
                <w:tcPr>
                  <w:tcW w:w="29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Кількість документів, необхідних для виконання вимог регуляторного акта (шт.):</w:t>
                  </w:r>
                </w:p>
                <w:p w:rsidR="00D2712E" w:rsidRDefault="00E84974">
                  <w:pPr>
                    <w:widowControl w:val="0"/>
                  </w:pPr>
                  <w:r>
                    <w:rPr>
                      <w:b/>
                      <w:sz w:val="22"/>
                      <w:szCs w:val="22"/>
                    </w:rPr>
                    <w:t>для 1-ого СПД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Pr="00A9056F" w:rsidRDefault="00D22B3A" w:rsidP="00A9056F">
                  <w:pPr>
                    <w:widowControl w:val="0"/>
                    <w:jc w:val="center"/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Pr="00A9056F" w:rsidRDefault="00D22B3A" w:rsidP="00A9056F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Pr="00A9056F" w:rsidRDefault="00D22B3A" w:rsidP="00A9056F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D2712E" w:rsidTr="00A9056F">
              <w:trPr>
                <w:trHeight w:val="1875"/>
              </w:trPr>
              <w:tc>
                <w:tcPr>
                  <w:tcW w:w="29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Кількість випадків недотримання державними органами, органами місцевого самоврядування, іншими суб'єктами, що впроваджують цей акт, його основних положень (шт.)</w:t>
                  </w: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E84974" w:rsidP="00A9056F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E84974" w:rsidP="00A9056F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E84974" w:rsidP="00A9056F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2712E" w:rsidTr="00A9056F">
              <w:tc>
                <w:tcPr>
                  <w:tcW w:w="29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2712E" w:rsidRDefault="00E84974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Кількість штрафних санкцій сплачених суб’єктами господарювання при невиконанні вимог регуляторного акту (шт.)</w:t>
                  </w:r>
                </w:p>
                <w:p w:rsidR="00D2712E" w:rsidRDefault="00D2712E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E84974" w:rsidP="00A9056F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81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E84974" w:rsidP="00A9056F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2712E" w:rsidRDefault="00E84974" w:rsidP="00A9056F">
                  <w:pPr>
                    <w:widowControl w:val="0"/>
                    <w:jc w:val="center"/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D2712E" w:rsidRDefault="00D2712E">
            <w:pPr>
              <w:widowControl w:val="0"/>
            </w:pPr>
          </w:p>
        </w:tc>
      </w:tr>
      <w:tr w:rsidR="00D2712E" w:rsidTr="00455DA2">
        <w:trPr>
          <w:trHeight w:val="783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jc w:val="both"/>
            </w:pPr>
            <w:r>
              <w:t>9.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2712E" w:rsidRDefault="00E8497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Визначення заходів, за допомогою яких здійснюватиметься відстеження результативності дії регуляторного акта</w:t>
            </w:r>
          </w:p>
        </w:tc>
        <w:tc>
          <w:tcPr>
            <w:tcW w:w="7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5304" w:rsidRPr="00CB5ACF" w:rsidRDefault="00EA5304" w:rsidP="00EA5304">
            <w:pPr>
              <w:widowControl w:val="0"/>
              <w:shd w:val="clear" w:color="auto" w:fill="FFFFFF"/>
              <w:jc w:val="both"/>
              <w:rPr>
                <w:color w:val="auto"/>
                <w:u w:val="single"/>
              </w:rPr>
            </w:pPr>
            <w:r w:rsidRPr="00CB5ACF">
              <w:rPr>
                <w:color w:val="auto"/>
              </w:rPr>
              <w:t>Відстеження результативності дії регуляторного акта буде здійснюватися на підставі аналізу фактичних даних, які будуть в наявності департаменті житлово-комунального господарства Луцької міської ради</w:t>
            </w:r>
            <w:r w:rsidR="00CB5ACF" w:rsidRPr="00CB5ACF">
              <w:rPr>
                <w:color w:val="auto"/>
              </w:rPr>
              <w:t>.</w:t>
            </w:r>
          </w:p>
          <w:p w:rsidR="00EA5304" w:rsidRPr="00CB5ACF" w:rsidRDefault="00EA5304" w:rsidP="00EA5304">
            <w:pPr>
              <w:widowControl w:val="0"/>
              <w:shd w:val="clear" w:color="auto" w:fill="FFFFFF"/>
              <w:jc w:val="both"/>
              <w:rPr>
                <w:color w:val="auto"/>
              </w:rPr>
            </w:pPr>
            <w:r w:rsidRPr="00CB5ACF">
              <w:rPr>
                <w:color w:val="auto"/>
              </w:rPr>
              <w:t xml:space="preserve">Базове відстеження результативності регуляторного акта здійснюється </w:t>
            </w:r>
            <w:r w:rsidR="00F82E73" w:rsidRPr="00CB5ACF">
              <w:rPr>
                <w:color w:val="auto"/>
              </w:rPr>
              <w:t xml:space="preserve">після затвердження </w:t>
            </w:r>
            <w:r w:rsidRPr="00CB5ACF">
              <w:rPr>
                <w:color w:val="auto"/>
              </w:rPr>
              <w:t xml:space="preserve"> регуляторного акту.</w:t>
            </w:r>
          </w:p>
          <w:p w:rsidR="00D2712E" w:rsidRDefault="00EA5304" w:rsidP="00CB5ACF">
            <w:pPr>
              <w:widowControl w:val="0"/>
              <w:shd w:val="clear" w:color="auto" w:fill="FFFFFF"/>
              <w:jc w:val="both"/>
            </w:pPr>
            <w:r w:rsidRPr="00CB5ACF">
              <w:rPr>
                <w:color w:val="auto"/>
              </w:rPr>
              <w:t>Повторне відстеження результативності дії регуляторного акту буде здійснено через рік після його прийняття</w:t>
            </w:r>
            <w:r w:rsidR="003B261B" w:rsidRPr="00CB5ACF">
              <w:rPr>
                <w:color w:val="auto"/>
              </w:rPr>
              <w:t xml:space="preserve">. </w:t>
            </w:r>
            <w:r w:rsidRPr="00CB5ACF">
              <w:rPr>
                <w:color w:val="auto"/>
              </w:rPr>
              <w:t xml:space="preserve">Періодичні відстеження результативності будуть здійснюватися один раз на </w:t>
            </w:r>
            <w:r w:rsidR="00CB5ACF" w:rsidRPr="00CB5ACF">
              <w:rPr>
                <w:color w:val="auto"/>
              </w:rPr>
              <w:t>три</w:t>
            </w:r>
            <w:r w:rsidRPr="00CB5ACF">
              <w:rPr>
                <w:color w:val="auto"/>
              </w:rPr>
              <w:t xml:space="preserve"> роки протягом усього терміну дії акта</w:t>
            </w:r>
            <w:r w:rsidR="00F82E73" w:rsidRPr="00CB5ACF">
              <w:rPr>
                <w:color w:val="auto"/>
              </w:rPr>
              <w:t>.</w:t>
            </w:r>
          </w:p>
        </w:tc>
      </w:tr>
    </w:tbl>
    <w:p w:rsidR="00D2712E" w:rsidRDefault="00D2712E">
      <w:pPr>
        <w:tabs>
          <w:tab w:val="left" w:pos="6954"/>
        </w:tabs>
        <w:jc w:val="both"/>
      </w:pPr>
    </w:p>
    <w:p w:rsidR="008F7873" w:rsidRDefault="008F7873" w:rsidP="008F7873">
      <w:pPr>
        <w:tabs>
          <w:tab w:val="left" w:pos="6954"/>
        </w:tabs>
        <w:jc w:val="right"/>
      </w:pPr>
      <w:r>
        <w:lastRenderedPageBreak/>
        <w:t>Додаток до аналізу регуляторного впливу</w:t>
      </w:r>
    </w:p>
    <w:p w:rsidR="008F7873" w:rsidRDefault="008F7873" w:rsidP="008F7873">
      <w:pPr>
        <w:tabs>
          <w:tab w:val="left" w:pos="6954"/>
        </w:tabs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5822"/>
        <w:gridCol w:w="1183"/>
        <w:gridCol w:w="1183"/>
      </w:tblGrid>
      <w:tr w:rsidR="008F7873" w:rsidRPr="002C287D" w:rsidTr="005E558C">
        <w:trPr>
          <w:jc w:val="center"/>
        </w:trPr>
        <w:tc>
          <w:tcPr>
            <w:tcW w:w="765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2C287D">
              <w:rPr>
                <w:lang w:eastAsia="ru-RU"/>
              </w:rPr>
              <w:t>Порядковий номер</w:t>
            </w:r>
          </w:p>
        </w:tc>
        <w:tc>
          <w:tcPr>
            <w:tcW w:w="3011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2C287D">
              <w:rPr>
                <w:lang w:eastAsia="ru-RU"/>
              </w:rPr>
              <w:t>Витрати</w:t>
            </w:r>
          </w:p>
        </w:tc>
        <w:tc>
          <w:tcPr>
            <w:tcW w:w="612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2C287D">
              <w:rPr>
                <w:lang w:eastAsia="ru-RU"/>
              </w:rPr>
              <w:t>За перший рік</w:t>
            </w:r>
          </w:p>
        </w:tc>
        <w:tc>
          <w:tcPr>
            <w:tcW w:w="612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2C287D">
              <w:rPr>
                <w:lang w:eastAsia="ru-RU"/>
              </w:rPr>
              <w:t>За п’ять років</w:t>
            </w:r>
          </w:p>
        </w:tc>
      </w:tr>
      <w:tr w:rsidR="008F7873" w:rsidRPr="002C287D" w:rsidTr="005E558C">
        <w:trPr>
          <w:jc w:val="center"/>
        </w:trPr>
        <w:tc>
          <w:tcPr>
            <w:tcW w:w="765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011" w:type="pct"/>
            <w:hideMark/>
          </w:tcPr>
          <w:p w:rsidR="002C287D" w:rsidRPr="002C287D" w:rsidRDefault="008F7873" w:rsidP="005E558C">
            <w:pPr>
              <w:spacing w:before="150" w:after="150"/>
              <w:rPr>
                <w:lang w:eastAsia="ru-RU"/>
              </w:rPr>
            </w:pPr>
            <w:r w:rsidRPr="00FF4481">
              <w:rPr>
                <w:lang w:eastAsia="ru-RU"/>
              </w:rPr>
              <w:t>Витрати на підготовку документів на участь у конкурсі з визначення виконавця послуг відповідно до конкурсної пропозиції</w:t>
            </w:r>
            <w:r w:rsidRPr="002C287D">
              <w:rPr>
                <w:lang w:eastAsia="ru-RU"/>
              </w:rPr>
              <w:t>, гривень</w:t>
            </w:r>
          </w:p>
        </w:tc>
        <w:tc>
          <w:tcPr>
            <w:tcW w:w="612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FF4481">
              <w:rPr>
                <w:lang w:eastAsia="ru-RU"/>
              </w:rPr>
              <w:t>442,50</w:t>
            </w:r>
          </w:p>
        </w:tc>
        <w:tc>
          <w:tcPr>
            <w:tcW w:w="612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FF4481">
              <w:rPr>
                <w:lang w:eastAsia="ru-RU"/>
              </w:rPr>
              <w:t>442,50</w:t>
            </w:r>
          </w:p>
        </w:tc>
      </w:tr>
      <w:tr w:rsidR="008F7873" w:rsidRPr="002C287D" w:rsidTr="005E558C">
        <w:trPr>
          <w:jc w:val="center"/>
        </w:trPr>
        <w:tc>
          <w:tcPr>
            <w:tcW w:w="765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11" w:type="pct"/>
            <w:hideMark/>
          </w:tcPr>
          <w:p w:rsidR="002C287D" w:rsidRPr="002C287D" w:rsidRDefault="008F7873" w:rsidP="005E558C">
            <w:pPr>
              <w:spacing w:before="150" w:after="150"/>
              <w:rPr>
                <w:lang w:eastAsia="ru-RU"/>
              </w:rPr>
            </w:pPr>
            <w:r w:rsidRPr="002C287D">
              <w:rPr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12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FF4481">
              <w:rPr>
                <w:lang w:eastAsia="ru-RU"/>
              </w:rPr>
              <w:t>7</w:t>
            </w:r>
          </w:p>
        </w:tc>
        <w:tc>
          <w:tcPr>
            <w:tcW w:w="612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FF4481">
              <w:rPr>
                <w:lang w:eastAsia="ru-RU"/>
              </w:rPr>
              <w:t>7</w:t>
            </w:r>
          </w:p>
        </w:tc>
      </w:tr>
      <w:tr w:rsidR="008F7873" w:rsidRPr="002C287D" w:rsidTr="005E558C">
        <w:trPr>
          <w:jc w:val="center"/>
        </w:trPr>
        <w:tc>
          <w:tcPr>
            <w:tcW w:w="765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011" w:type="pct"/>
            <w:hideMark/>
          </w:tcPr>
          <w:p w:rsidR="002C287D" w:rsidRPr="002C287D" w:rsidRDefault="008F7873" w:rsidP="005E558C">
            <w:pPr>
              <w:spacing w:before="150" w:after="150"/>
              <w:rPr>
                <w:lang w:eastAsia="ru-RU"/>
              </w:rPr>
            </w:pPr>
            <w:r w:rsidRPr="002C287D">
              <w:rPr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12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FF4481">
              <w:rPr>
                <w:lang w:eastAsia="ru-RU"/>
              </w:rPr>
              <w:t>3097,50</w:t>
            </w:r>
          </w:p>
        </w:tc>
        <w:tc>
          <w:tcPr>
            <w:tcW w:w="612" w:type="pct"/>
            <w:hideMark/>
          </w:tcPr>
          <w:p w:rsidR="002C287D" w:rsidRPr="002C287D" w:rsidRDefault="008F7873" w:rsidP="005E558C">
            <w:pPr>
              <w:spacing w:before="150" w:after="150"/>
              <w:jc w:val="center"/>
              <w:rPr>
                <w:lang w:eastAsia="ru-RU"/>
              </w:rPr>
            </w:pPr>
            <w:r w:rsidRPr="00FF4481">
              <w:rPr>
                <w:lang w:eastAsia="ru-RU"/>
              </w:rPr>
              <w:t>3097,50</w:t>
            </w:r>
          </w:p>
        </w:tc>
      </w:tr>
    </w:tbl>
    <w:p w:rsidR="008F7873" w:rsidRDefault="008F7873">
      <w:pPr>
        <w:tabs>
          <w:tab w:val="left" w:pos="6954"/>
        </w:tabs>
        <w:jc w:val="both"/>
      </w:pPr>
    </w:p>
    <w:p w:rsidR="00D2712E" w:rsidRDefault="00D2712E">
      <w:pPr>
        <w:tabs>
          <w:tab w:val="left" w:pos="6954"/>
        </w:tabs>
        <w:jc w:val="both"/>
      </w:pPr>
    </w:p>
    <w:p w:rsidR="00E91F47" w:rsidRDefault="004B5F61" w:rsidP="00E91F47">
      <w:r>
        <w:t>В. о. д</w:t>
      </w:r>
      <w:r w:rsidR="00E91F47">
        <w:t>иректор</w:t>
      </w:r>
      <w:r>
        <w:t>а</w:t>
      </w:r>
      <w:r w:rsidR="00E91F47">
        <w:t xml:space="preserve"> департаменту</w:t>
      </w:r>
    </w:p>
    <w:p w:rsidR="00D2712E" w:rsidRDefault="00E91F47" w:rsidP="00E91F47">
      <w:r w:rsidRPr="00E91F47">
        <w:t>житлово-комунального господарства</w:t>
      </w:r>
      <w:bookmarkStart w:id="5" w:name="_GoBack"/>
      <w:bookmarkEnd w:id="5"/>
      <w:r w:rsidR="004B5F61">
        <w:t>Сергій ГАВРИЛЮК</w:t>
      </w:r>
    </w:p>
    <w:p w:rsidR="00D2712E" w:rsidRDefault="00D2712E">
      <w:pPr>
        <w:rPr>
          <w:lang w:val="ru-RU"/>
        </w:rPr>
      </w:pPr>
    </w:p>
    <w:p w:rsidR="00D2712E" w:rsidRDefault="00D2712E">
      <w:pPr>
        <w:rPr>
          <w:lang w:val="ru-RU"/>
        </w:rPr>
      </w:pPr>
    </w:p>
    <w:p w:rsidR="00D2712E" w:rsidRDefault="00D2712E">
      <w:pPr>
        <w:rPr>
          <w:lang w:val="ru-RU"/>
        </w:rPr>
      </w:pPr>
    </w:p>
    <w:p w:rsidR="00D2712E" w:rsidRDefault="00E84974">
      <w:pPr>
        <w:tabs>
          <w:tab w:val="left" w:pos="6954"/>
        </w:tabs>
        <w:jc w:val="both"/>
      </w:pPr>
      <w:r>
        <w:t>Заступник міського голови                                                                                   Ірина ЧЕБЕЛЮК</w:t>
      </w:r>
    </w:p>
    <w:p w:rsidR="00D2712E" w:rsidRDefault="00D2712E">
      <w:pPr>
        <w:tabs>
          <w:tab w:val="left" w:pos="6954"/>
        </w:tabs>
        <w:jc w:val="both"/>
      </w:pPr>
    </w:p>
    <w:sectPr w:rsidR="00D2712E" w:rsidSect="008A04E7">
      <w:headerReference w:type="default" r:id="rId7"/>
      <w:pgSz w:w="11906" w:h="16838"/>
      <w:pgMar w:top="850" w:right="567" w:bottom="1701" w:left="1701" w:header="567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3A" w:rsidRDefault="0029543A">
      <w:r>
        <w:separator/>
      </w:r>
    </w:p>
  </w:endnote>
  <w:endnote w:type="continuationSeparator" w:id="1">
    <w:p w:rsidR="0029543A" w:rsidRDefault="00295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3A" w:rsidRDefault="0029543A">
      <w:r>
        <w:separator/>
      </w:r>
    </w:p>
  </w:footnote>
  <w:footnote w:type="continuationSeparator" w:id="1">
    <w:p w:rsidR="0029543A" w:rsidRDefault="00295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2E" w:rsidRDefault="00D2712E">
    <w:pPr>
      <w:pStyle w:val="1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12E"/>
    <w:rsid w:val="00023F0A"/>
    <w:rsid w:val="000951D5"/>
    <w:rsid w:val="00277723"/>
    <w:rsid w:val="0029543A"/>
    <w:rsid w:val="002D31B0"/>
    <w:rsid w:val="003231CF"/>
    <w:rsid w:val="003B261B"/>
    <w:rsid w:val="003C276C"/>
    <w:rsid w:val="003E0930"/>
    <w:rsid w:val="003E24BC"/>
    <w:rsid w:val="003F1CA7"/>
    <w:rsid w:val="00411EEA"/>
    <w:rsid w:val="00455DA2"/>
    <w:rsid w:val="004B5F61"/>
    <w:rsid w:val="005F1ECA"/>
    <w:rsid w:val="006D62D1"/>
    <w:rsid w:val="006F6EF0"/>
    <w:rsid w:val="007400C0"/>
    <w:rsid w:val="00744E6C"/>
    <w:rsid w:val="00764F8C"/>
    <w:rsid w:val="007957BB"/>
    <w:rsid w:val="007B403D"/>
    <w:rsid w:val="007E0216"/>
    <w:rsid w:val="008754A5"/>
    <w:rsid w:val="0088202A"/>
    <w:rsid w:val="00895950"/>
    <w:rsid w:val="008A04E7"/>
    <w:rsid w:val="008E3652"/>
    <w:rsid w:val="008F7873"/>
    <w:rsid w:val="00A04D18"/>
    <w:rsid w:val="00A41109"/>
    <w:rsid w:val="00A43DA2"/>
    <w:rsid w:val="00A71C53"/>
    <w:rsid w:val="00A7668B"/>
    <w:rsid w:val="00A9056F"/>
    <w:rsid w:val="00BE030E"/>
    <w:rsid w:val="00BF3085"/>
    <w:rsid w:val="00C1096D"/>
    <w:rsid w:val="00C35144"/>
    <w:rsid w:val="00C40267"/>
    <w:rsid w:val="00C60CDE"/>
    <w:rsid w:val="00C95EA5"/>
    <w:rsid w:val="00CB5ACF"/>
    <w:rsid w:val="00CC5044"/>
    <w:rsid w:val="00D048D1"/>
    <w:rsid w:val="00D22B3A"/>
    <w:rsid w:val="00D2712E"/>
    <w:rsid w:val="00E84974"/>
    <w:rsid w:val="00E91F47"/>
    <w:rsid w:val="00EA5304"/>
    <w:rsid w:val="00EF314B"/>
    <w:rsid w:val="00F82E73"/>
    <w:rsid w:val="00F931D8"/>
    <w:rsid w:val="00F952DD"/>
    <w:rsid w:val="00FB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B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72B7B"/>
    <w:rPr>
      <w:rFonts w:ascii="Times New Roman" w:hAnsi="Times New Roman" w:cs="Times New Roman"/>
      <w:color w:val="000000"/>
      <w:spacing w:val="-3"/>
      <w:sz w:val="28"/>
      <w:szCs w:val="28"/>
      <w:lang w:val="uk-UA"/>
    </w:rPr>
  </w:style>
  <w:style w:type="character" w:customStyle="1" w:styleId="WW8Num2z0">
    <w:name w:val="WW8Num2z0"/>
    <w:qFormat/>
    <w:rsid w:val="00372B7B"/>
  </w:style>
  <w:style w:type="character" w:customStyle="1" w:styleId="WW8Num2z1">
    <w:name w:val="WW8Num2z1"/>
    <w:qFormat/>
    <w:rsid w:val="00372B7B"/>
  </w:style>
  <w:style w:type="character" w:customStyle="1" w:styleId="WW8Num2z2">
    <w:name w:val="WW8Num2z2"/>
    <w:qFormat/>
    <w:rsid w:val="00372B7B"/>
  </w:style>
  <w:style w:type="character" w:customStyle="1" w:styleId="WW8Num2z3">
    <w:name w:val="WW8Num2z3"/>
    <w:qFormat/>
    <w:rsid w:val="00372B7B"/>
  </w:style>
  <w:style w:type="character" w:customStyle="1" w:styleId="WW8Num2z4">
    <w:name w:val="WW8Num2z4"/>
    <w:qFormat/>
    <w:rsid w:val="00372B7B"/>
  </w:style>
  <w:style w:type="character" w:customStyle="1" w:styleId="WW8Num2z5">
    <w:name w:val="WW8Num2z5"/>
    <w:qFormat/>
    <w:rsid w:val="00372B7B"/>
  </w:style>
  <w:style w:type="character" w:customStyle="1" w:styleId="WW8Num2z6">
    <w:name w:val="WW8Num2z6"/>
    <w:qFormat/>
    <w:rsid w:val="00372B7B"/>
  </w:style>
  <w:style w:type="character" w:customStyle="1" w:styleId="WW8Num2z7">
    <w:name w:val="WW8Num2z7"/>
    <w:qFormat/>
    <w:rsid w:val="00372B7B"/>
  </w:style>
  <w:style w:type="character" w:customStyle="1" w:styleId="WW8Num2z8">
    <w:name w:val="WW8Num2z8"/>
    <w:qFormat/>
    <w:rsid w:val="00372B7B"/>
  </w:style>
  <w:style w:type="character" w:customStyle="1" w:styleId="1">
    <w:name w:val="Основной шрифт абзаца1"/>
    <w:qFormat/>
    <w:rsid w:val="00372B7B"/>
  </w:style>
  <w:style w:type="character" w:customStyle="1" w:styleId="5">
    <w:name w:val="Основной шрифт абзаца5"/>
    <w:qFormat/>
    <w:rsid w:val="00372B7B"/>
  </w:style>
  <w:style w:type="character" w:customStyle="1" w:styleId="4">
    <w:name w:val="Основной шрифт абзаца4"/>
    <w:qFormat/>
    <w:rsid w:val="00372B7B"/>
  </w:style>
  <w:style w:type="character" w:customStyle="1" w:styleId="3">
    <w:name w:val="Основной шрифт абзаца3"/>
    <w:qFormat/>
    <w:rsid w:val="00372B7B"/>
  </w:style>
  <w:style w:type="character" w:customStyle="1" w:styleId="WW8Num3z0">
    <w:name w:val="WW8Num3z0"/>
    <w:qFormat/>
    <w:rsid w:val="00372B7B"/>
  </w:style>
  <w:style w:type="character" w:customStyle="1" w:styleId="WW8Num3z1">
    <w:name w:val="WW8Num3z1"/>
    <w:qFormat/>
    <w:rsid w:val="00372B7B"/>
  </w:style>
  <w:style w:type="character" w:customStyle="1" w:styleId="WW8Num3z2">
    <w:name w:val="WW8Num3z2"/>
    <w:qFormat/>
    <w:rsid w:val="00372B7B"/>
  </w:style>
  <w:style w:type="character" w:customStyle="1" w:styleId="WW8Num3z3">
    <w:name w:val="WW8Num3z3"/>
    <w:qFormat/>
    <w:rsid w:val="00372B7B"/>
  </w:style>
  <w:style w:type="character" w:customStyle="1" w:styleId="2">
    <w:name w:val="Основной шрифт абзаца2"/>
    <w:qFormat/>
    <w:rsid w:val="00372B7B"/>
  </w:style>
  <w:style w:type="character" w:customStyle="1" w:styleId="WW8Num3z4">
    <w:name w:val="WW8Num3z4"/>
    <w:qFormat/>
    <w:rsid w:val="00372B7B"/>
  </w:style>
  <w:style w:type="character" w:customStyle="1" w:styleId="WW8Num3z5">
    <w:name w:val="WW8Num3z5"/>
    <w:qFormat/>
    <w:rsid w:val="00372B7B"/>
  </w:style>
  <w:style w:type="character" w:customStyle="1" w:styleId="WW8Num3z6">
    <w:name w:val="WW8Num3z6"/>
    <w:qFormat/>
    <w:rsid w:val="00372B7B"/>
  </w:style>
  <w:style w:type="character" w:customStyle="1" w:styleId="WW8Num3z7">
    <w:name w:val="WW8Num3z7"/>
    <w:qFormat/>
    <w:rsid w:val="00372B7B"/>
  </w:style>
  <w:style w:type="character" w:customStyle="1" w:styleId="WW8Num3z8">
    <w:name w:val="WW8Num3z8"/>
    <w:qFormat/>
    <w:rsid w:val="00372B7B"/>
  </w:style>
  <w:style w:type="character" w:customStyle="1" w:styleId="WW8Num4z0">
    <w:name w:val="WW8Num4z0"/>
    <w:qFormat/>
    <w:rsid w:val="00372B7B"/>
  </w:style>
  <w:style w:type="character" w:customStyle="1" w:styleId="WW8Num4z1">
    <w:name w:val="WW8Num4z1"/>
    <w:qFormat/>
    <w:rsid w:val="00372B7B"/>
  </w:style>
  <w:style w:type="character" w:customStyle="1" w:styleId="WW8Num4z2">
    <w:name w:val="WW8Num4z2"/>
    <w:qFormat/>
    <w:rsid w:val="00372B7B"/>
  </w:style>
  <w:style w:type="character" w:customStyle="1" w:styleId="WW8Num4z3">
    <w:name w:val="WW8Num4z3"/>
    <w:qFormat/>
    <w:rsid w:val="00372B7B"/>
  </w:style>
  <w:style w:type="character" w:customStyle="1" w:styleId="WW8Num4z4">
    <w:name w:val="WW8Num4z4"/>
    <w:qFormat/>
    <w:rsid w:val="00372B7B"/>
  </w:style>
  <w:style w:type="character" w:customStyle="1" w:styleId="WW8Num4z5">
    <w:name w:val="WW8Num4z5"/>
    <w:qFormat/>
    <w:rsid w:val="00372B7B"/>
  </w:style>
  <w:style w:type="character" w:customStyle="1" w:styleId="WW8Num4z6">
    <w:name w:val="WW8Num4z6"/>
    <w:qFormat/>
    <w:rsid w:val="00372B7B"/>
  </w:style>
  <w:style w:type="character" w:customStyle="1" w:styleId="WW8Num4z7">
    <w:name w:val="WW8Num4z7"/>
    <w:qFormat/>
    <w:rsid w:val="00372B7B"/>
  </w:style>
  <w:style w:type="character" w:customStyle="1" w:styleId="WW8Num4z8">
    <w:name w:val="WW8Num4z8"/>
    <w:qFormat/>
    <w:rsid w:val="00372B7B"/>
  </w:style>
  <w:style w:type="character" w:customStyle="1" w:styleId="WW8Num5z0">
    <w:name w:val="WW8Num5z0"/>
    <w:qFormat/>
    <w:rsid w:val="00372B7B"/>
  </w:style>
  <w:style w:type="character" w:customStyle="1" w:styleId="WW8Num5z1">
    <w:name w:val="WW8Num5z1"/>
    <w:qFormat/>
    <w:rsid w:val="00372B7B"/>
  </w:style>
  <w:style w:type="character" w:customStyle="1" w:styleId="WW8Num5z2">
    <w:name w:val="WW8Num5z2"/>
    <w:qFormat/>
    <w:rsid w:val="00372B7B"/>
  </w:style>
  <w:style w:type="character" w:customStyle="1" w:styleId="WW8Num5z3">
    <w:name w:val="WW8Num5z3"/>
    <w:qFormat/>
    <w:rsid w:val="00372B7B"/>
  </w:style>
  <w:style w:type="character" w:customStyle="1" w:styleId="WW8Num5z4">
    <w:name w:val="WW8Num5z4"/>
    <w:qFormat/>
    <w:rsid w:val="00372B7B"/>
  </w:style>
  <w:style w:type="character" w:customStyle="1" w:styleId="WW8Num5z5">
    <w:name w:val="WW8Num5z5"/>
    <w:qFormat/>
    <w:rsid w:val="00372B7B"/>
  </w:style>
  <w:style w:type="character" w:customStyle="1" w:styleId="WW8Num5z6">
    <w:name w:val="WW8Num5z6"/>
    <w:qFormat/>
    <w:rsid w:val="00372B7B"/>
  </w:style>
  <w:style w:type="character" w:customStyle="1" w:styleId="WW8Num5z7">
    <w:name w:val="WW8Num5z7"/>
    <w:qFormat/>
    <w:rsid w:val="00372B7B"/>
  </w:style>
  <w:style w:type="character" w:customStyle="1" w:styleId="WW8Num5z8">
    <w:name w:val="WW8Num5z8"/>
    <w:qFormat/>
    <w:rsid w:val="00372B7B"/>
  </w:style>
  <w:style w:type="character" w:customStyle="1" w:styleId="FontStyle19">
    <w:name w:val="Font Style19"/>
    <w:qFormat/>
    <w:rsid w:val="00372B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3">
    <w:name w:val="s3"/>
    <w:qFormat/>
    <w:rsid w:val="00372B7B"/>
  </w:style>
  <w:style w:type="character" w:customStyle="1" w:styleId="a3">
    <w:name w:val="Гіперпосилання"/>
    <w:rsid w:val="00372B7B"/>
    <w:rPr>
      <w:color w:val="000080"/>
      <w:u w:val="single"/>
    </w:rPr>
  </w:style>
  <w:style w:type="character" w:customStyle="1" w:styleId="FontStyle12">
    <w:name w:val="Font Style12"/>
    <w:qFormat/>
    <w:rsid w:val="00372B7B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qFormat/>
    <w:rsid w:val="00372B7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1"/>
    <w:qFormat/>
    <w:rsid w:val="00372B7B"/>
  </w:style>
  <w:style w:type="character" w:customStyle="1" w:styleId="10">
    <w:name w:val="Знак Знак1"/>
    <w:qFormat/>
    <w:rsid w:val="00372B7B"/>
    <w:rPr>
      <w:sz w:val="24"/>
      <w:szCs w:val="24"/>
    </w:rPr>
  </w:style>
  <w:style w:type="character" w:customStyle="1" w:styleId="a4">
    <w:name w:val="Знак Знак"/>
    <w:qFormat/>
    <w:rsid w:val="00372B7B"/>
    <w:rPr>
      <w:sz w:val="24"/>
      <w:szCs w:val="24"/>
    </w:rPr>
  </w:style>
  <w:style w:type="character" w:customStyle="1" w:styleId="fontstyle01">
    <w:name w:val="fontstyle01"/>
    <w:basedOn w:val="1"/>
    <w:qFormat/>
    <w:rsid w:val="00372B7B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customStyle="1" w:styleId="a5">
    <w:name w:val="Заголовок"/>
    <w:basedOn w:val="a"/>
    <w:next w:val="a6"/>
    <w:qFormat/>
    <w:rsid w:val="00372B7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6">
    <w:name w:val="Body Text"/>
    <w:basedOn w:val="a"/>
    <w:rsid w:val="00372B7B"/>
    <w:pPr>
      <w:spacing w:after="140" w:line="288" w:lineRule="auto"/>
    </w:pPr>
  </w:style>
  <w:style w:type="paragraph" w:styleId="a7">
    <w:name w:val="List"/>
    <w:basedOn w:val="a6"/>
    <w:rsid w:val="00372B7B"/>
    <w:rPr>
      <w:rFonts w:cs="Mangal"/>
    </w:rPr>
  </w:style>
  <w:style w:type="paragraph" w:customStyle="1" w:styleId="11">
    <w:name w:val="Название объекта1"/>
    <w:basedOn w:val="a"/>
    <w:qFormat/>
    <w:rsid w:val="00372B7B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Покажчик"/>
    <w:basedOn w:val="a"/>
    <w:qFormat/>
    <w:rsid w:val="00372B7B"/>
    <w:pPr>
      <w:suppressLineNumbers/>
    </w:pPr>
    <w:rPr>
      <w:rFonts w:cs="Arial"/>
    </w:rPr>
  </w:style>
  <w:style w:type="paragraph" w:styleId="a9">
    <w:name w:val="caption"/>
    <w:basedOn w:val="a"/>
    <w:qFormat/>
    <w:rsid w:val="00372B7B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4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rsid w:val="00372B7B"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372B7B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372B7B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372B7B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372B7B"/>
    <w:pPr>
      <w:suppressLineNumbers/>
    </w:pPr>
    <w:rPr>
      <w:rFonts w:cs="Mangal"/>
    </w:rPr>
  </w:style>
  <w:style w:type="paragraph" w:customStyle="1" w:styleId="14">
    <w:name w:val="Текст выноски1"/>
    <w:basedOn w:val="a"/>
    <w:qFormat/>
    <w:rsid w:val="00372B7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next w:val="a"/>
    <w:qFormat/>
    <w:rsid w:val="00372B7B"/>
    <w:pPr>
      <w:spacing w:line="317" w:lineRule="exact"/>
      <w:ind w:firstLine="806"/>
    </w:pPr>
    <w:rPr>
      <w:lang w:val="ru-RU"/>
    </w:rPr>
  </w:style>
  <w:style w:type="paragraph" w:customStyle="1" w:styleId="p7">
    <w:name w:val="p7"/>
    <w:basedOn w:val="a"/>
    <w:qFormat/>
    <w:rsid w:val="00372B7B"/>
    <w:pPr>
      <w:spacing w:before="280" w:after="280"/>
    </w:pPr>
    <w:rPr>
      <w:lang w:val="ru-RU"/>
    </w:rPr>
  </w:style>
  <w:style w:type="paragraph" w:customStyle="1" w:styleId="p5">
    <w:name w:val="p5"/>
    <w:basedOn w:val="a"/>
    <w:qFormat/>
    <w:rsid w:val="00372B7B"/>
    <w:pPr>
      <w:spacing w:before="280" w:after="280"/>
    </w:pPr>
    <w:rPr>
      <w:lang w:val="ru-RU"/>
    </w:rPr>
  </w:style>
  <w:style w:type="paragraph" w:customStyle="1" w:styleId="p6">
    <w:name w:val="p6"/>
    <w:basedOn w:val="a"/>
    <w:qFormat/>
    <w:rsid w:val="00372B7B"/>
    <w:pPr>
      <w:spacing w:before="280" w:after="280"/>
    </w:pPr>
    <w:rPr>
      <w:lang w:val="ru-RU"/>
    </w:rPr>
  </w:style>
  <w:style w:type="paragraph" w:customStyle="1" w:styleId="aa">
    <w:name w:val="Содержимое таблицы"/>
    <w:basedOn w:val="a"/>
    <w:qFormat/>
    <w:rsid w:val="00372B7B"/>
    <w:pPr>
      <w:suppressLineNumbers/>
    </w:pPr>
  </w:style>
  <w:style w:type="paragraph" w:customStyle="1" w:styleId="ab">
    <w:name w:val="Заголовок таблицы"/>
    <w:basedOn w:val="aa"/>
    <w:qFormat/>
    <w:rsid w:val="00372B7B"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rsid w:val="00372B7B"/>
  </w:style>
  <w:style w:type="paragraph" w:customStyle="1" w:styleId="15">
    <w:name w:val="Верхний колонтитул1"/>
    <w:basedOn w:val="a"/>
    <w:rsid w:val="00372B7B"/>
    <w:pPr>
      <w:tabs>
        <w:tab w:val="center" w:pos="4819"/>
        <w:tab w:val="right" w:pos="9639"/>
      </w:tabs>
    </w:pPr>
  </w:style>
  <w:style w:type="paragraph" w:customStyle="1" w:styleId="16">
    <w:name w:val="Нижний колонтитул1"/>
    <w:basedOn w:val="a"/>
    <w:rsid w:val="00372B7B"/>
    <w:pPr>
      <w:tabs>
        <w:tab w:val="center" w:pos="4819"/>
        <w:tab w:val="right" w:pos="9639"/>
      </w:tabs>
    </w:pPr>
  </w:style>
  <w:style w:type="paragraph" w:customStyle="1" w:styleId="ad">
    <w:name w:val="Вміст таблиці"/>
    <w:basedOn w:val="a"/>
    <w:qFormat/>
    <w:rsid w:val="00372B7B"/>
    <w:pPr>
      <w:suppressLineNumbers/>
    </w:pPr>
  </w:style>
  <w:style w:type="paragraph" w:customStyle="1" w:styleId="ae">
    <w:name w:val="Заголовок таблиці"/>
    <w:basedOn w:val="ad"/>
    <w:qFormat/>
    <w:rsid w:val="00372B7B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07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B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72B7B"/>
    <w:rPr>
      <w:rFonts w:ascii="Times New Roman" w:hAnsi="Times New Roman" w:cs="Times New Roman"/>
      <w:color w:val="000000"/>
      <w:spacing w:val="-3"/>
      <w:sz w:val="28"/>
      <w:szCs w:val="28"/>
      <w:lang w:val="uk-UA"/>
    </w:rPr>
  </w:style>
  <w:style w:type="character" w:customStyle="1" w:styleId="WW8Num2z0">
    <w:name w:val="WW8Num2z0"/>
    <w:qFormat/>
    <w:rsid w:val="00372B7B"/>
  </w:style>
  <w:style w:type="character" w:customStyle="1" w:styleId="WW8Num2z1">
    <w:name w:val="WW8Num2z1"/>
    <w:qFormat/>
    <w:rsid w:val="00372B7B"/>
  </w:style>
  <w:style w:type="character" w:customStyle="1" w:styleId="WW8Num2z2">
    <w:name w:val="WW8Num2z2"/>
    <w:qFormat/>
    <w:rsid w:val="00372B7B"/>
  </w:style>
  <w:style w:type="character" w:customStyle="1" w:styleId="WW8Num2z3">
    <w:name w:val="WW8Num2z3"/>
    <w:qFormat/>
    <w:rsid w:val="00372B7B"/>
  </w:style>
  <w:style w:type="character" w:customStyle="1" w:styleId="WW8Num2z4">
    <w:name w:val="WW8Num2z4"/>
    <w:qFormat/>
    <w:rsid w:val="00372B7B"/>
  </w:style>
  <w:style w:type="character" w:customStyle="1" w:styleId="WW8Num2z5">
    <w:name w:val="WW8Num2z5"/>
    <w:qFormat/>
    <w:rsid w:val="00372B7B"/>
  </w:style>
  <w:style w:type="character" w:customStyle="1" w:styleId="WW8Num2z6">
    <w:name w:val="WW8Num2z6"/>
    <w:qFormat/>
    <w:rsid w:val="00372B7B"/>
  </w:style>
  <w:style w:type="character" w:customStyle="1" w:styleId="WW8Num2z7">
    <w:name w:val="WW8Num2z7"/>
    <w:qFormat/>
    <w:rsid w:val="00372B7B"/>
  </w:style>
  <w:style w:type="character" w:customStyle="1" w:styleId="WW8Num2z8">
    <w:name w:val="WW8Num2z8"/>
    <w:qFormat/>
    <w:rsid w:val="00372B7B"/>
  </w:style>
  <w:style w:type="character" w:customStyle="1" w:styleId="1">
    <w:name w:val="Основной шрифт абзаца1"/>
    <w:qFormat/>
    <w:rsid w:val="00372B7B"/>
  </w:style>
  <w:style w:type="character" w:customStyle="1" w:styleId="5">
    <w:name w:val="Основной шрифт абзаца5"/>
    <w:qFormat/>
    <w:rsid w:val="00372B7B"/>
  </w:style>
  <w:style w:type="character" w:customStyle="1" w:styleId="4">
    <w:name w:val="Основной шрифт абзаца4"/>
    <w:qFormat/>
    <w:rsid w:val="00372B7B"/>
  </w:style>
  <w:style w:type="character" w:customStyle="1" w:styleId="3">
    <w:name w:val="Основной шрифт абзаца3"/>
    <w:qFormat/>
    <w:rsid w:val="00372B7B"/>
  </w:style>
  <w:style w:type="character" w:customStyle="1" w:styleId="WW8Num3z0">
    <w:name w:val="WW8Num3z0"/>
    <w:qFormat/>
    <w:rsid w:val="00372B7B"/>
  </w:style>
  <w:style w:type="character" w:customStyle="1" w:styleId="WW8Num3z1">
    <w:name w:val="WW8Num3z1"/>
    <w:qFormat/>
    <w:rsid w:val="00372B7B"/>
  </w:style>
  <w:style w:type="character" w:customStyle="1" w:styleId="WW8Num3z2">
    <w:name w:val="WW8Num3z2"/>
    <w:qFormat/>
    <w:rsid w:val="00372B7B"/>
  </w:style>
  <w:style w:type="character" w:customStyle="1" w:styleId="WW8Num3z3">
    <w:name w:val="WW8Num3z3"/>
    <w:qFormat/>
    <w:rsid w:val="00372B7B"/>
  </w:style>
  <w:style w:type="character" w:customStyle="1" w:styleId="2">
    <w:name w:val="Основной шрифт абзаца2"/>
    <w:qFormat/>
    <w:rsid w:val="00372B7B"/>
  </w:style>
  <w:style w:type="character" w:customStyle="1" w:styleId="WW8Num3z4">
    <w:name w:val="WW8Num3z4"/>
    <w:qFormat/>
    <w:rsid w:val="00372B7B"/>
  </w:style>
  <w:style w:type="character" w:customStyle="1" w:styleId="WW8Num3z5">
    <w:name w:val="WW8Num3z5"/>
    <w:qFormat/>
    <w:rsid w:val="00372B7B"/>
  </w:style>
  <w:style w:type="character" w:customStyle="1" w:styleId="WW8Num3z6">
    <w:name w:val="WW8Num3z6"/>
    <w:qFormat/>
    <w:rsid w:val="00372B7B"/>
  </w:style>
  <w:style w:type="character" w:customStyle="1" w:styleId="WW8Num3z7">
    <w:name w:val="WW8Num3z7"/>
    <w:qFormat/>
    <w:rsid w:val="00372B7B"/>
  </w:style>
  <w:style w:type="character" w:customStyle="1" w:styleId="WW8Num3z8">
    <w:name w:val="WW8Num3z8"/>
    <w:qFormat/>
    <w:rsid w:val="00372B7B"/>
  </w:style>
  <w:style w:type="character" w:customStyle="1" w:styleId="WW8Num4z0">
    <w:name w:val="WW8Num4z0"/>
    <w:qFormat/>
    <w:rsid w:val="00372B7B"/>
  </w:style>
  <w:style w:type="character" w:customStyle="1" w:styleId="WW8Num4z1">
    <w:name w:val="WW8Num4z1"/>
    <w:qFormat/>
    <w:rsid w:val="00372B7B"/>
  </w:style>
  <w:style w:type="character" w:customStyle="1" w:styleId="WW8Num4z2">
    <w:name w:val="WW8Num4z2"/>
    <w:qFormat/>
    <w:rsid w:val="00372B7B"/>
  </w:style>
  <w:style w:type="character" w:customStyle="1" w:styleId="WW8Num4z3">
    <w:name w:val="WW8Num4z3"/>
    <w:qFormat/>
    <w:rsid w:val="00372B7B"/>
  </w:style>
  <w:style w:type="character" w:customStyle="1" w:styleId="WW8Num4z4">
    <w:name w:val="WW8Num4z4"/>
    <w:qFormat/>
    <w:rsid w:val="00372B7B"/>
  </w:style>
  <w:style w:type="character" w:customStyle="1" w:styleId="WW8Num4z5">
    <w:name w:val="WW8Num4z5"/>
    <w:qFormat/>
    <w:rsid w:val="00372B7B"/>
  </w:style>
  <w:style w:type="character" w:customStyle="1" w:styleId="WW8Num4z6">
    <w:name w:val="WW8Num4z6"/>
    <w:qFormat/>
    <w:rsid w:val="00372B7B"/>
  </w:style>
  <w:style w:type="character" w:customStyle="1" w:styleId="WW8Num4z7">
    <w:name w:val="WW8Num4z7"/>
    <w:qFormat/>
    <w:rsid w:val="00372B7B"/>
  </w:style>
  <w:style w:type="character" w:customStyle="1" w:styleId="WW8Num4z8">
    <w:name w:val="WW8Num4z8"/>
    <w:qFormat/>
    <w:rsid w:val="00372B7B"/>
  </w:style>
  <w:style w:type="character" w:customStyle="1" w:styleId="WW8Num5z0">
    <w:name w:val="WW8Num5z0"/>
    <w:qFormat/>
    <w:rsid w:val="00372B7B"/>
  </w:style>
  <w:style w:type="character" w:customStyle="1" w:styleId="WW8Num5z1">
    <w:name w:val="WW8Num5z1"/>
    <w:qFormat/>
    <w:rsid w:val="00372B7B"/>
  </w:style>
  <w:style w:type="character" w:customStyle="1" w:styleId="WW8Num5z2">
    <w:name w:val="WW8Num5z2"/>
    <w:qFormat/>
    <w:rsid w:val="00372B7B"/>
  </w:style>
  <w:style w:type="character" w:customStyle="1" w:styleId="WW8Num5z3">
    <w:name w:val="WW8Num5z3"/>
    <w:qFormat/>
    <w:rsid w:val="00372B7B"/>
  </w:style>
  <w:style w:type="character" w:customStyle="1" w:styleId="WW8Num5z4">
    <w:name w:val="WW8Num5z4"/>
    <w:qFormat/>
    <w:rsid w:val="00372B7B"/>
  </w:style>
  <w:style w:type="character" w:customStyle="1" w:styleId="WW8Num5z5">
    <w:name w:val="WW8Num5z5"/>
    <w:qFormat/>
    <w:rsid w:val="00372B7B"/>
  </w:style>
  <w:style w:type="character" w:customStyle="1" w:styleId="WW8Num5z6">
    <w:name w:val="WW8Num5z6"/>
    <w:qFormat/>
    <w:rsid w:val="00372B7B"/>
  </w:style>
  <w:style w:type="character" w:customStyle="1" w:styleId="WW8Num5z7">
    <w:name w:val="WW8Num5z7"/>
    <w:qFormat/>
    <w:rsid w:val="00372B7B"/>
  </w:style>
  <w:style w:type="character" w:customStyle="1" w:styleId="WW8Num5z8">
    <w:name w:val="WW8Num5z8"/>
    <w:qFormat/>
    <w:rsid w:val="00372B7B"/>
  </w:style>
  <w:style w:type="character" w:customStyle="1" w:styleId="FontStyle19">
    <w:name w:val="Font Style19"/>
    <w:qFormat/>
    <w:rsid w:val="00372B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3">
    <w:name w:val="s3"/>
    <w:qFormat/>
    <w:rsid w:val="00372B7B"/>
  </w:style>
  <w:style w:type="character" w:customStyle="1" w:styleId="a3">
    <w:name w:val="Гіперпосилання"/>
    <w:rsid w:val="00372B7B"/>
    <w:rPr>
      <w:color w:val="000080"/>
      <w:u w:val="single"/>
    </w:rPr>
  </w:style>
  <w:style w:type="character" w:customStyle="1" w:styleId="FontStyle12">
    <w:name w:val="Font Style12"/>
    <w:qFormat/>
    <w:rsid w:val="00372B7B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qFormat/>
    <w:rsid w:val="00372B7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1"/>
    <w:qFormat/>
    <w:rsid w:val="00372B7B"/>
  </w:style>
  <w:style w:type="character" w:customStyle="1" w:styleId="10">
    <w:name w:val="Знак Знак1"/>
    <w:qFormat/>
    <w:rsid w:val="00372B7B"/>
    <w:rPr>
      <w:sz w:val="24"/>
      <w:szCs w:val="24"/>
    </w:rPr>
  </w:style>
  <w:style w:type="character" w:customStyle="1" w:styleId="a4">
    <w:name w:val="Знак Знак"/>
    <w:qFormat/>
    <w:rsid w:val="00372B7B"/>
    <w:rPr>
      <w:sz w:val="24"/>
      <w:szCs w:val="24"/>
    </w:rPr>
  </w:style>
  <w:style w:type="character" w:customStyle="1" w:styleId="fontstyle01">
    <w:name w:val="fontstyle01"/>
    <w:basedOn w:val="1"/>
    <w:qFormat/>
    <w:rsid w:val="00372B7B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customStyle="1" w:styleId="a5">
    <w:name w:val="Заголовок"/>
    <w:basedOn w:val="a"/>
    <w:next w:val="a6"/>
    <w:qFormat/>
    <w:rsid w:val="00372B7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6">
    <w:name w:val="Body Text"/>
    <w:basedOn w:val="a"/>
    <w:rsid w:val="00372B7B"/>
    <w:pPr>
      <w:spacing w:after="140" w:line="288" w:lineRule="auto"/>
    </w:pPr>
  </w:style>
  <w:style w:type="paragraph" w:styleId="a7">
    <w:name w:val="List"/>
    <w:basedOn w:val="a6"/>
    <w:rsid w:val="00372B7B"/>
    <w:rPr>
      <w:rFonts w:cs="Mangal"/>
    </w:rPr>
  </w:style>
  <w:style w:type="paragraph" w:customStyle="1" w:styleId="11">
    <w:name w:val="Название объекта1"/>
    <w:basedOn w:val="a"/>
    <w:qFormat/>
    <w:rsid w:val="00372B7B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Покажчик"/>
    <w:basedOn w:val="a"/>
    <w:qFormat/>
    <w:rsid w:val="00372B7B"/>
    <w:pPr>
      <w:suppressLineNumbers/>
    </w:pPr>
    <w:rPr>
      <w:rFonts w:cs="Arial"/>
    </w:rPr>
  </w:style>
  <w:style w:type="paragraph" w:styleId="a9">
    <w:name w:val="caption"/>
    <w:basedOn w:val="a"/>
    <w:qFormat/>
    <w:rsid w:val="00372B7B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4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rsid w:val="00372B7B"/>
    <w:pPr>
      <w:suppressLineNumbers/>
    </w:pPr>
    <w:rPr>
      <w:rFonts w:cs="Mangal"/>
    </w:rPr>
  </w:style>
  <w:style w:type="paragraph" w:customStyle="1" w:styleId="30">
    <w:name w:val="Название3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372B7B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372B7B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372B7B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qFormat/>
    <w:rsid w:val="00372B7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372B7B"/>
    <w:pPr>
      <w:suppressLineNumbers/>
    </w:pPr>
    <w:rPr>
      <w:rFonts w:cs="Mangal"/>
    </w:rPr>
  </w:style>
  <w:style w:type="paragraph" w:customStyle="1" w:styleId="14">
    <w:name w:val="Текст выноски1"/>
    <w:basedOn w:val="a"/>
    <w:qFormat/>
    <w:rsid w:val="00372B7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next w:val="a"/>
    <w:qFormat/>
    <w:rsid w:val="00372B7B"/>
    <w:pPr>
      <w:spacing w:line="317" w:lineRule="exact"/>
      <w:ind w:firstLine="806"/>
    </w:pPr>
    <w:rPr>
      <w:lang w:val="ru-RU"/>
    </w:rPr>
  </w:style>
  <w:style w:type="paragraph" w:customStyle="1" w:styleId="p7">
    <w:name w:val="p7"/>
    <w:basedOn w:val="a"/>
    <w:qFormat/>
    <w:rsid w:val="00372B7B"/>
    <w:pPr>
      <w:spacing w:before="280" w:after="280"/>
    </w:pPr>
    <w:rPr>
      <w:lang w:val="ru-RU"/>
    </w:rPr>
  </w:style>
  <w:style w:type="paragraph" w:customStyle="1" w:styleId="p5">
    <w:name w:val="p5"/>
    <w:basedOn w:val="a"/>
    <w:qFormat/>
    <w:rsid w:val="00372B7B"/>
    <w:pPr>
      <w:spacing w:before="280" w:after="280"/>
    </w:pPr>
    <w:rPr>
      <w:lang w:val="ru-RU"/>
    </w:rPr>
  </w:style>
  <w:style w:type="paragraph" w:customStyle="1" w:styleId="p6">
    <w:name w:val="p6"/>
    <w:basedOn w:val="a"/>
    <w:qFormat/>
    <w:rsid w:val="00372B7B"/>
    <w:pPr>
      <w:spacing w:before="280" w:after="280"/>
    </w:pPr>
    <w:rPr>
      <w:lang w:val="ru-RU"/>
    </w:rPr>
  </w:style>
  <w:style w:type="paragraph" w:customStyle="1" w:styleId="aa">
    <w:name w:val="Содержимое таблицы"/>
    <w:basedOn w:val="a"/>
    <w:qFormat/>
    <w:rsid w:val="00372B7B"/>
    <w:pPr>
      <w:suppressLineNumbers/>
    </w:pPr>
  </w:style>
  <w:style w:type="paragraph" w:customStyle="1" w:styleId="ab">
    <w:name w:val="Заголовок таблицы"/>
    <w:basedOn w:val="aa"/>
    <w:qFormat/>
    <w:rsid w:val="00372B7B"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rsid w:val="00372B7B"/>
  </w:style>
  <w:style w:type="paragraph" w:customStyle="1" w:styleId="15">
    <w:name w:val="Верхний колонтитул1"/>
    <w:basedOn w:val="a"/>
    <w:rsid w:val="00372B7B"/>
    <w:pPr>
      <w:tabs>
        <w:tab w:val="center" w:pos="4819"/>
        <w:tab w:val="right" w:pos="9639"/>
      </w:tabs>
    </w:pPr>
  </w:style>
  <w:style w:type="paragraph" w:customStyle="1" w:styleId="16">
    <w:name w:val="Нижний колонтитул1"/>
    <w:basedOn w:val="a"/>
    <w:rsid w:val="00372B7B"/>
    <w:pPr>
      <w:tabs>
        <w:tab w:val="center" w:pos="4819"/>
        <w:tab w:val="right" w:pos="9639"/>
      </w:tabs>
    </w:pPr>
  </w:style>
  <w:style w:type="paragraph" w:customStyle="1" w:styleId="ad">
    <w:name w:val="Вміст таблиці"/>
    <w:basedOn w:val="a"/>
    <w:qFormat/>
    <w:rsid w:val="00372B7B"/>
    <w:pPr>
      <w:suppressLineNumbers/>
    </w:pPr>
  </w:style>
  <w:style w:type="paragraph" w:customStyle="1" w:styleId="ae">
    <w:name w:val="Заголовок таблиці"/>
    <w:basedOn w:val="ad"/>
    <w:qFormat/>
    <w:rsid w:val="00372B7B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07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CD7F-2568-4137-879A-3C330D78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6580</Words>
  <Characters>3752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Reanimator Extreme Edition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WORK</dc:creator>
  <cp:lastModifiedBy>karpuko</cp:lastModifiedBy>
  <cp:revision>2</cp:revision>
  <cp:lastPrinted>2021-08-17T10:43:00Z</cp:lastPrinted>
  <dcterms:created xsi:type="dcterms:W3CDTF">2021-11-04T07:32:00Z</dcterms:created>
  <dcterms:modified xsi:type="dcterms:W3CDTF">2021-11-04T07:32:00Z</dcterms:modified>
  <dc:language>uk-UA</dc:language>
</cp:coreProperties>
</file>